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03B9" w14:textId="16FB8A2C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>Matematik Origo 1c Upplaga 2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09FEF6BD" w:rsidR="00E94DCD" w:rsidRPr="00A14CCB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1c upplaga 2 skiljer sig från den nya ämnesplanen och hur man kan använda övriga Origo-böcker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30EED2D4" w14:textId="551ADD3D" w:rsidR="00D35E3A" w:rsidRPr="00A14CCB" w:rsidRDefault="00D35E3A">
      <w:pPr>
        <w:rPr>
          <w:rFonts w:ascii="Times New Roman" w:hAnsi="Times New Roman" w:cs="Times New Roman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020"/>
        <w:gridCol w:w="6614"/>
      </w:tblGrid>
      <w:tr w:rsidR="00A14CCB" w:rsidRPr="00A14CCB" w14:paraId="580D7944" w14:textId="77777777" w:rsidTr="004403C5">
        <w:tc>
          <w:tcPr>
            <w:tcW w:w="3020" w:type="dxa"/>
          </w:tcPr>
          <w:p w14:paraId="3934A748" w14:textId="37CC5E95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</w:p>
        </w:tc>
        <w:tc>
          <w:tcPr>
            <w:tcW w:w="6614" w:type="dxa"/>
          </w:tcPr>
          <w:p w14:paraId="340251EB" w14:textId="2D5E1CDA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9C5132" w:rsidRPr="00A14CCB" w14:paraId="7690EB6E" w14:textId="77777777" w:rsidTr="004403C5">
        <w:tc>
          <w:tcPr>
            <w:tcW w:w="3020" w:type="dxa"/>
            <w:shd w:val="clear" w:color="auto" w:fill="C5E0B3" w:themeFill="accent6" w:themeFillTint="66"/>
          </w:tcPr>
          <w:p w14:paraId="4B3836DD" w14:textId="4DA71B76" w:rsidR="009C5132" w:rsidRPr="004F410D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Kapitel 1</w:t>
            </w:r>
            <w:r w:rsidR="00A14CCB"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Tal 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25D1A418" w14:textId="0E85A4F9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684DA6DE" w14:textId="77777777" w:rsidTr="004403C5">
        <w:tc>
          <w:tcPr>
            <w:tcW w:w="3020" w:type="dxa"/>
          </w:tcPr>
          <w:p w14:paraId="30A4DC70" w14:textId="1E69F8D3" w:rsidR="009C5132" w:rsidRPr="00AE5314" w:rsidRDefault="00A14CC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Delkapitel 1.1 Tal i olika former </w:t>
            </w:r>
          </w:p>
        </w:tc>
        <w:tc>
          <w:tcPr>
            <w:tcW w:w="6614" w:type="dxa"/>
          </w:tcPr>
          <w:p w14:paraId="6615AAFD" w14:textId="1A2606D8" w:rsidR="009C5132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i delkapitlet</w:t>
            </w:r>
            <w:r w:rsidR="009C5132"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ingår inte längre i det centrala innehållet. </w:t>
            </w:r>
            <w:r w:rsidR="003C5E67">
              <w:rPr>
                <w:rFonts w:ascii="Times New Roman" w:hAnsi="Times New Roman" w:cs="Times New Roman"/>
                <w:sz w:val="24"/>
                <w:szCs w:val="24"/>
              </w:rPr>
              <w:t>Det k</w:t>
            </w:r>
            <w:r w:rsidR="009C5132" w:rsidRPr="00A14CCB">
              <w:rPr>
                <w:rFonts w:ascii="Times New Roman" w:hAnsi="Times New Roman" w:cs="Times New Roman"/>
                <w:sz w:val="24"/>
                <w:szCs w:val="24"/>
              </w:rPr>
              <w:t>an strykas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nyttjas som repetition.</w:t>
            </w:r>
          </w:p>
        </w:tc>
      </w:tr>
      <w:tr w:rsidR="009C5132" w:rsidRPr="00A14CCB" w14:paraId="0222998C" w14:textId="77777777" w:rsidTr="004403C5">
        <w:tc>
          <w:tcPr>
            <w:tcW w:w="3020" w:type="dxa"/>
          </w:tcPr>
          <w:p w14:paraId="06076F43" w14:textId="677A2D35" w:rsidR="009C5132" w:rsidRPr="00AE5314" w:rsidRDefault="00AB2E2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>Delkapitel 1.</w:t>
            </w:r>
            <w:r w:rsidR="007746B7" w:rsidRPr="00AE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C6D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– Potenser </w:t>
            </w:r>
          </w:p>
        </w:tc>
        <w:tc>
          <w:tcPr>
            <w:tcW w:w="6614" w:type="dxa"/>
          </w:tcPr>
          <w:p w14:paraId="5F3151F9" w14:textId="0173E6C8" w:rsidR="009C5132" w:rsidRPr="00A14CCB" w:rsidRDefault="00124C6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centrala innehållet </w:t>
            </w:r>
            <w:r w:rsidR="006303CC">
              <w:rPr>
                <w:rFonts w:ascii="Times New Roman" w:hAnsi="Times New Roman" w:cs="Times New Roman"/>
                <w:sz w:val="24"/>
                <w:szCs w:val="24"/>
              </w:rPr>
              <w:t>inbegriper även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potenser med rationella exponenter.</w:t>
            </w:r>
            <w:r w:rsidR="006303CC">
              <w:rPr>
                <w:rFonts w:ascii="Times New Roman" w:hAnsi="Times New Roman" w:cs="Times New Roman"/>
                <w:sz w:val="24"/>
                <w:szCs w:val="24"/>
              </w:rPr>
              <w:t xml:space="preserve"> Det behandlas i </w:t>
            </w:r>
            <w:r w:rsidR="004F410D">
              <w:rPr>
                <w:rFonts w:ascii="Times New Roman" w:hAnsi="Times New Roman" w:cs="Times New Roman"/>
                <w:sz w:val="24"/>
                <w:szCs w:val="24"/>
              </w:rPr>
              <w:t xml:space="preserve">avsnittet </w:t>
            </w:r>
            <w:r w:rsidR="004F410D" w:rsidRPr="00A36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Potenser i stället för rotuttryck</w:t>
            </w:r>
            <w:r w:rsidR="004F410D">
              <w:rPr>
                <w:rFonts w:ascii="Times New Roman" w:hAnsi="Times New Roman" w:cs="Times New Roman"/>
                <w:sz w:val="24"/>
                <w:szCs w:val="24"/>
              </w:rPr>
              <w:t xml:space="preserve"> i Kapitel 2, </w:t>
            </w:r>
            <w:r w:rsidR="006303CC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4F410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</w:tr>
      <w:tr w:rsidR="009C5132" w:rsidRPr="00A14CCB" w14:paraId="433CC11A" w14:textId="77777777" w:rsidTr="004403C5">
        <w:tc>
          <w:tcPr>
            <w:tcW w:w="3020" w:type="dxa"/>
          </w:tcPr>
          <w:p w14:paraId="04694C68" w14:textId="59F9F03C" w:rsidR="009C5132" w:rsidRPr="00AE5314" w:rsidRDefault="00124C6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Delkapitel 1.3 – Talsystem </w:t>
            </w:r>
          </w:p>
        </w:tc>
        <w:tc>
          <w:tcPr>
            <w:tcW w:w="6614" w:type="dxa"/>
          </w:tcPr>
          <w:p w14:paraId="0DA30D2A" w14:textId="62D79999" w:rsidR="009C5132" w:rsidRPr="00A14CCB" w:rsidRDefault="00124C6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i delkapitlet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ingår inte längre i det centrala innehållet. </w:t>
            </w:r>
            <w:r w:rsidR="00AF650D">
              <w:rPr>
                <w:rFonts w:ascii="Times New Roman" w:hAnsi="Times New Roman" w:cs="Times New Roman"/>
                <w:sz w:val="24"/>
                <w:szCs w:val="24"/>
              </w:rPr>
              <w:t>Det k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>an strykas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nyttjas som repetition.</w:t>
            </w:r>
          </w:p>
        </w:tc>
      </w:tr>
      <w:tr w:rsidR="009C5132" w:rsidRPr="00A14CCB" w14:paraId="750A3613" w14:textId="77777777" w:rsidTr="004403C5">
        <w:tc>
          <w:tcPr>
            <w:tcW w:w="3020" w:type="dxa"/>
            <w:shd w:val="clear" w:color="auto" w:fill="C5E0B3" w:themeFill="accent6" w:themeFillTint="66"/>
          </w:tcPr>
          <w:p w14:paraId="331A5DF4" w14:textId="0A5E398A" w:rsidR="009C5132" w:rsidRPr="00AE5314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Kapitel 2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Algebra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4767D2AE" w14:textId="77777777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C99AC4C" w14:textId="77777777" w:rsidTr="004403C5">
        <w:tc>
          <w:tcPr>
            <w:tcW w:w="3020" w:type="dxa"/>
          </w:tcPr>
          <w:p w14:paraId="2463E84A" w14:textId="1CE0CA5C" w:rsidR="009C5132" w:rsidRPr="00AE5314" w:rsidRDefault="00CB745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Delkapitel 2.1 </w:t>
            </w:r>
            <w:r w:rsidR="00A363E7" w:rsidRPr="00AE5314">
              <w:rPr>
                <w:rFonts w:ascii="Times New Roman" w:hAnsi="Times New Roman" w:cs="Times New Roman"/>
                <w:sz w:val="24"/>
                <w:szCs w:val="24"/>
              </w:rPr>
              <w:t>– Algebraiska uttryck</w:t>
            </w:r>
          </w:p>
        </w:tc>
        <w:tc>
          <w:tcPr>
            <w:tcW w:w="6614" w:type="dxa"/>
          </w:tcPr>
          <w:p w14:paraId="6CE086A0" w14:textId="0BB64147" w:rsidR="009C5132" w:rsidRPr="00A14CCB" w:rsidRDefault="00A363E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centrala innehållet inbegriper numera även multiplikation av uttryck inom parenteser. </w:t>
            </w:r>
            <w:r w:rsidR="00E92D0D">
              <w:rPr>
                <w:rFonts w:ascii="Times New Roman" w:hAnsi="Times New Roman" w:cs="Times New Roman"/>
                <w:sz w:val="24"/>
                <w:szCs w:val="24"/>
              </w:rPr>
              <w:t xml:space="preserve">Det behandlas i </w:t>
            </w:r>
            <w:r w:rsidR="008530B9">
              <w:rPr>
                <w:rFonts w:ascii="Times New Roman" w:hAnsi="Times New Roman" w:cs="Times New Roman"/>
                <w:sz w:val="24"/>
                <w:szCs w:val="24"/>
              </w:rPr>
              <w:t xml:space="preserve">avsnittet </w:t>
            </w:r>
            <w:r w:rsidR="008530B9" w:rsidRPr="00853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Multiplikation av uttryck inom parenteser</w:t>
            </w:r>
            <w:r w:rsidR="008530B9">
              <w:rPr>
                <w:rFonts w:ascii="Times New Roman" w:hAnsi="Times New Roman" w:cs="Times New Roman"/>
                <w:sz w:val="24"/>
                <w:szCs w:val="24"/>
              </w:rPr>
              <w:t>, upplaga 2 av Matematik Origo 2</w:t>
            </w:r>
            <w:r w:rsidR="00EB6F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530B9">
              <w:rPr>
                <w:rFonts w:ascii="Times New Roman" w:hAnsi="Times New Roman" w:cs="Times New Roman"/>
                <w:sz w:val="24"/>
                <w:szCs w:val="24"/>
              </w:rPr>
              <w:t xml:space="preserve">, Kapitel 1, s. </w:t>
            </w:r>
            <w:r w:rsidR="00EB6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132" w:rsidRPr="00A14CCB" w14:paraId="6E21F820" w14:textId="77777777" w:rsidTr="004403C5">
        <w:tc>
          <w:tcPr>
            <w:tcW w:w="3020" w:type="dxa"/>
          </w:tcPr>
          <w:p w14:paraId="0E9387BA" w14:textId="4412371D" w:rsidR="009C5132" w:rsidRPr="00A14CCB" w:rsidRDefault="00E81BD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Delkapitel 2.3 – Formler och talföljder</w:t>
            </w:r>
          </w:p>
        </w:tc>
        <w:tc>
          <w:tcPr>
            <w:tcW w:w="6614" w:type="dxa"/>
          </w:tcPr>
          <w:p w14:paraId="15295802" w14:textId="22DCC0F7" w:rsidR="009C5132" w:rsidRPr="00A14CCB" w:rsidRDefault="00E81BD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Aritmetiska talföljder och summor är inte explicit en del av det centrala innehållet</w:t>
            </w:r>
            <w:r w:rsidR="00A34529">
              <w:rPr>
                <w:rFonts w:ascii="Times New Roman" w:hAnsi="Times New Roman" w:cs="Times New Roman"/>
                <w:sz w:val="24"/>
                <w:szCs w:val="24"/>
              </w:rPr>
              <w:t xml:space="preserve">, men det anknyter till </w:t>
            </w:r>
            <w:r w:rsidR="00AF650D">
              <w:rPr>
                <w:rFonts w:ascii="Times New Roman" w:hAnsi="Times New Roman" w:cs="Times New Roman"/>
                <w:sz w:val="24"/>
                <w:szCs w:val="24"/>
              </w:rPr>
              <w:t>formuleringen</w:t>
            </w:r>
            <w:r w:rsidR="0046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34529" w:rsidRPr="00A34529">
              <w:rPr>
                <w:rFonts w:ascii="Times New Roman" w:hAnsi="Times New Roman" w:cs="Times New Roman"/>
                <w:sz w:val="24"/>
                <w:szCs w:val="24"/>
              </w:rPr>
              <w:t>Problemlösning som omfattar att upptäcka och uttrycka generella samband.</w:t>
            </w:r>
            <w:r w:rsidR="00A345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C5132" w14:paraId="49A82BA8" w14:textId="77777777" w:rsidTr="004403C5">
        <w:tc>
          <w:tcPr>
            <w:tcW w:w="3020" w:type="dxa"/>
            <w:shd w:val="clear" w:color="auto" w:fill="C5E0B3" w:themeFill="accent6" w:themeFillTint="66"/>
          </w:tcPr>
          <w:p w14:paraId="1D126FAD" w14:textId="4E687E4F" w:rsidR="009C5132" w:rsidRPr="004403C5" w:rsidRDefault="004403C5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403C5">
              <w:rPr>
                <w:b/>
                <w:bCs/>
                <w:sz w:val="24"/>
                <w:szCs w:val="24"/>
              </w:rPr>
              <w:t xml:space="preserve">Kapitel 3 – Procent 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755E9C89" w14:textId="77777777" w:rsidR="009C5132" w:rsidRPr="004403C5" w:rsidRDefault="009C5132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403C5" w14:paraId="6FF1A7F8" w14:textId="77777777" w:rsidTr="004403C5">
        <w:tc>
          <w:tcPr>
            <w:tcW w:w="3020" w:type="dxa"/>
          </w:tcPr>
          <w:p w14:paraId="790E99F9" w14:textId="2DED2A93" w:rsidR="004403C5" w:rsidRPr="005F5ABD" w:rsidRDefault="004403C5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Delkapitel 3.1 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5ABD">
              <w:rPr>
                <w:rFonts w:ascii="Times New Roman" w:hAnsi="Times New Roman" w:cs="Times New Roman"/>
                <w:sz w:val="24"/>
                <w:szCs w:val="24"/>
              </w:rPr>
              <w:t>Procentberäkningar</w:t>
            </w:r>
          </w:p>
        </w:tc>
        <w:tc>
          <w:tcPr>
            <w:tcW w:w="6614" w:type="dxa"/>
          </w:tcPr>
          <w:p w14:paraId="012FF6BD" w14:textId="793E8E3F" w:rsidR="003C5E67" w:rsidRDefault="00CE316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B">
              <w:rPr>
                <w:rFonts w:ascii="Times New Roman" w:hAnsi="Times New Roman" w:cs="Times New Roman"/>
                <w:sz w:val="24"/>
                <w:szCs w:val="24"/>
              </w:rPr>
              <w:t>Det inledande avsnittet om procent, promille och ppm är inte längre en del av det centrala innehållet, men kan nyttjas som repetition.</w:t>
            </w:r>
            <w:r w:rsidR="003C5E67">
              <w:rPr>
                <w:rFonts w:ascii="Times New Roman" w:hAnsi="Times New Roman" w:cs="Times New Roman"/>
                <w:sz w:val="24"/>
                <w:szCs w:val="24"/>
              </w:rPr>
              <w:t xml:space="preserve"> Detsamma gäller avsnittet Procentenheter</w:t>
            </w:r>
            <w:r w:rsidR="00E53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6124">
              <w:rPr>
                <w:rFonts w:ascii="Times New Roman" w:hAnsi="Times New Roman" w:cs="Times New Roman"/>
                <w:sz w:val="24"/>
                <w:szCs w:val="24"/>
              </w:rPr>
              <w:t>Inte heller a</w:t>
            </w:r>
            <w:r w:rsidR="00E530D2">
              <w:rPr>
                <w:rFonts w:ascii="Times New Roman" w:hAnsi="Times New Roman" w:cs="Times New Roman"/>
                <w:sz w:val="24"/>
                <w:szCs w:val="24"/>
              </w:rPr>
              <w:t>vsnittet om Index och KPI är centralt innehåll i Matematik 1c.</w:t>
            </w:r>
          </w:p>
          <w:p w14:paraId="711DA4A5" w14:textId="77777777" w:rsidR="001B1BA3" w:rsidRPr="005F5ABD" w:rsidRDefault="001B1BA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5EDD4" w14:textId="658202D6" w:rsidR="001B1BA3" w:rsidRPr="005F5ABD" w:rsidRDefault="0034640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I det centrala innehållet betonas </w:t>
            </w:r>
            <w:r w:rsidR="006F5BD7" w:rsidRPr="005F5ABD">
              <w:rPr>
                <w:rFonts w:ascii="Times New Roman" w:hAnsi="Times New Roman" w:cs="Times New Roman"/>
                <w:sz w:val="24"/>
                <w:szCs w:val="24"/>
              </w:rPr>
              <w:t>procentuella förändringar i flera steg.</w:t>
            </w:r>
            <w:r w:rsidR="00AB04BD"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 Detta behandlas i avsnittet </w:t>
            </w:r>
            <w:r w:rsidR="00AB04BD" w:rsidRPr="004B70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Procentuella förändringar</w:t>
            </w:r>
            <w:r w:rsidR="00AB04BD"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 på sidan </w:t>
            </w:r>
            <w:r w:rsidR="005F5ABD" w:rsidRPr="005F5ABD">
              <w:rPr>
                <w:rFonts w:ascii="Times New Roman" w:hAnsi="Times New Roman" w:cs="Times New Roman"/>
                <w:sz w:val="24"/>
                <w:szCs w:val="24"/>
              </w:rPr>
              <w:t>111, men uppgifterna på Nivå 1 kan behöva kompletteras med just förändringar i flera steg.</w:t>
            </w:r>
            <w:r w:rsidR="004B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B6">
              <w:rPr>
                <w:rFonts w:ascii="Times New Roman" w:hAnsi="Times New Roman" w:cs="Times New Roman"/>
                <w:sz w:val="24"/>
                <w:szCs w:val="24"/>
              </w:rPr>
              <w:t xml:space="preserve">Uppgifternas nivå </w:t>
            </w:r>
            <w:r w:rsidR="00940FBF">
              <w:rPr>
                <w:rFonts w:ascii="Times New Roman" w:hAnsi="Times New Roman" w:cs="Times New Roman"/>
                <w:sz w:val="24"/>
                <w:szCs w:val="24"/>
              </w:rPr>
              <w:t xml:space="preserve">stämmer </w:t>
            </w:r>
            <w:r w:rsidR="00176124">
              <w:rPr>
                <w:rFonts w:ascii="Times New Roman" w:hAnsi="Times New Roman" w:cs="Times New Roman"/>
                <w:sz w:val="24"/>
                <w:szCs w:val="24"/>
              </w:rPr>
              <w:t xml:space="preserve">i vissa fall heller </w:t>
            </w:r>
            <w:r w:rsidR="00940FBF">
              <w:rPr>
                <w:rFonts w:ascii="Times New Roman" w:hAnsi="Times New Roman" w:cs="Times New Roman"/>
                <w:sz w:val="24"/>
                <w:szCs w:val="24"/>
              </w:rPr>
              <w:t>inte riktigt överens med skrivningarna i det centrala innehållet.</w:t>
            </w:r>
          </w:p>
        </w:tc>
      </w:tr>
      <w:tr w:rsidR="004403C5" w14:paraId="26EB3711" w14:textId="77777777" w:rsidTr="004403C5">
        <w:tc>
          <w:tcPr>
            <w:tcW w:w="3020" w:type="dxa"/>
          </w:tcPr>
          <w:p w14:paraId="6FDD3FA1" w14:textId="53959E77" w:rsidR="004403C5" w:rsidRPr="00D86FF5" w:rsidRDefault="00C53F96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6FF5">
              <w:rPr>
                <w:rFonts w:ascii="Times New Roman" w:hAnsi="Times New Roman" w:cs="Times New Roman"/>
                <w:sz w:val="24"/>
                <w:szCs w:val="24"/>
              </w:rPr>
              <w:t>2 – Ränta och lån</w:t>
            </w:r>
          </w:p>
        </w:tc>
        <w:tc>
          <w:tcPr>
            <w:tcW w:w="6614" w:type="dxa"/>
          </w:tcPr>
          <w:p w14:paraId="15DEFF0C" w14:textId="0705140F" w:rsidR="004403C5" w:rsidRPr="00D86FF5" w:rsidRDefault="00C53F96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Innehållet i delkapitlet ingår i det centrala innehållet, men </w:t>
            </w:r>
            <w:r w:rsidR="00EF433D"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enligt de nya skrivningarna ska eleverna kunna lösa uppgifterna i </w:t>
            </w:r>
            <w:r w:rsidR="00EF433D" w:rsidRPr="00176124">
              <w:rPr>
                <w:rFonts w:ascii="Times New Roman" w:hAnsi="Times New Roman" w:cs="Times New Roman"/>
                <w:sz w:val="24"/>
                <w:szCs w:val="24"/>
              </w:rPr>
              <w:t>kalkylprogram</w:t>
            </w:r>
            <w:r w:rsidR="00EF433D"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03C5" w14:paraId="71F4AD99" w14:textId="77777777" w:rsidTr="00BE39C7">
        <w:tc>
          <w:tcPr>
            <w:tcW w:w="3020" w:type="dxa"/>
            <w:shd w:val="clear" w:color="auto" w:fill="C5E0B3" w:themeFill="accent6" w:themeFillTint="66"/>
          </w:tcPr>
          <w:p w14:paraId="04DAB088" w14:textId="030CBCAB" w:rsidR="004403C5" w:rsidRPr="00BE39C7" w:rsidRDefault="00BE39C7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E39C7">
              <w:rPr>
                <w:b/>
                <w:bCs/>
                <w:sz w:val="24"/>
                <w:szCs w:val="24"/>
              </w:rPr>
              <w:t>Kapitel 4 – Funktioner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54B2FF30" w14:textId="77777777" w:rsidR="004403C5" w:rsidRPr="00A14CCB" w:rsidRDefault="004403C5" w:rsidP="00EE67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03C5" w14:paraId="7FD366C7" w14:textId="77777777" w:rsidTr="004403C5">
        <w:tc>
          <w:tcPr>
            <w:tcW w:w="3020" w:type="dxa"/>
          </w:tcPr>
          <w:p w14:paraId="12F52909" w14:textId="37D8C49C" w:rsidR="004403C5" w:rsidRPr="003C54E3" w:rsidRDefault="003A368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4E3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574B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C54E3">
              <w:rPr>
                <w:rFonts w:ascii="Times New Roman" w:hAnsi="Times New Roman" w:cs="Times New Roman"/>
                <w:sz w:val="24"/>
                <w:szCs w:val="24"/>
              </w:rPr>
              <w:t>1 – Ekvationer, tabeller och grafer</w:t>
            </w:r>
          </w:p>
        </w:tc>
        <w:tc>
          <w:tcPr>
            <w:tcW w:w="6614" w:type="dxa"/>
          </w:tcPr>
          <w:p w14:paraId="6233FF3B" w14:textId="3910F3F8" w:rsidR="004403C5" w:rsidRPr="003C54E3" w:rsidRDefault="003C54E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Detta delkapitel är</w:t>
            </w:r>
            <w:r w:rsidRPr="003C54E3">
              <w:rPr>
                <w:rFonts w:ascii="Times New Roman" w:hAnsi="Times New Roman" w:cs="Times New Roman"/>
                <w:sz w:val="24"/>
                <w:szCs w:val="24"/>
              </w:rPr>
              <w:t xml:space="preserve"> repetition från högstadiet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men förbereder för </w:t>
            </w:r>
            <w:r w:rsidR="00EF447E">
              <w:rPr>
                <w:rFonts w:ascii="Times New Roman" w:hAnsi="Times New Roman" w:cs="Times New Roman"/>
                <w:sz w:val="24"/>
                <w:szCs w:val="24"/>
              </w:rPr>
              <w:t>avsnitten 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räta linjens ekvation och linjära funktioner.</w:t>
            </w:r>
          </w:p>
        </w:tc>
      </w:tr>
      <w:tr w:rsidR="004403C5" w14:paraId="3FB5A9CB" w14:textId="77777777" w:rsidTr="004403C5">
        <w:tc>
          <w:tcPr>
            <w:tcW w:w="3020" w:type="dxa"/>
          </w:tcPr>
          <w:p w14:paraId="5B7AD2FF" w14:textId="32B0C284" w:rsidR="004403C5" w:rsidRPr="004D034E" w:rsidRDefault="003C54E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Delkapitel 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D034E" w:rsidRPr="004D03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34E" w:rsidRPr="004D034E">
              <w:rPr>
                <w:rFonts w:ascii="Times New Roman" w:hAnsi="Times New Roman" w:cs="Times New Roman"/>
                <w:sz w:val="24"/>
                <w:szCs w:val="24"/>
              </w:rPr>
              <w:t>Räta linjens ekvation</w:t>
            </w:r>
          </w:p>
        </w:tc>
        <w:tc>
          <w:tcPr>
            <w:tcW w:w="6614" w:type="dxa"/>
          </w:tcPr>
          <w:p w14:paraId="2AB08708" w14:textId="77777777" w:rsidR="004403C5" w:rsidRDefault="00B62B10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B">
              <w:rPr>
                <w:rFonts w:ascii="Times New Roman" w:hAnsi="Times New Roman" w:cs="Times New Roman"/>
                <w:sz w:val="24"/>
                <w:szCs w:val="24"/>
              </w:rPr>
              <w:t xml:space="preserve">Det inledande avsnittet 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proportionalitet</w:t>
            </w:r>
            <w:r w:rsidRPr="00CE316B">
              <w:rPr>
                <w:rFonts w:ascii="Times New Roman" w:hAnsi="Times New Roman" w:cs="Times New Roman"/>
                <w:sz w:val="24"/>
                <w:szCs w:val="24"/>
              </w:rPr>
              <w:t xml:space="preserve"> är inte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explicit</w:t>
            </w:r>
            <w:r w:rsidRPr="00CE316B">
              <w:rPr>
                <w:rFonts w:ascii="Times New Roman" w:hAnsi="Times New Roman" w:cs="Times New Roman"/>
                <w:sz w:val="24"/>
                <w:szCs w:val="24"/>
              </w:rPr>
              <w:t xml:space="preserve"> en del av det centrala innehållet, men kan nyttjas som repetition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ses som en anpassning till elevernas karaktärsämnen</w:t>
            </w:r>
            <w:r w:rsidRPr="00CE3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C6D245" w14:textId="77777777" w:rsidR="000B1842" w:rsidRDefault="000B184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5BC1" w14:textId="67501C55" w:rsidR="00BF33D4" w:rsidRPr="004D034E" w:rsidRDefault="000B184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Räta linjens ekvation är numera centralt innehåll </w:t>
            </w:r>
            <w:r w:rsidR="00573724">
              <w:rPr>
                <w:rFonts w:ascii="Times New Roman" w:hAnsi="Times New Roman" w:cs="Times New Roman"/>
                <w:sz w:val="24"/>
                <w:szCs w:val="24"/>
              </w:rPr>
              <w:t xml:space="preserve">redan i kurs 1. </w:t>
            </w:r>
            <w:r w:rsidR="00BA35FB">
              <w:rPr>
                <w:rFonts w:ascii="Times New Roman" w:hAnsi="Times New Roman" w:cs="Times New Roman"/>
                <w:sz w:val="24"/>
                <w:szCs w:val="24"/>
              </w:rPr>
              <w:t xml:space="preserve">Detta innehåll behandlas i </w:t>
            </w:r>
            <w:r w:rsidR="00710373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="00BA35FB">
              <w:rPr>
                <w:rFonts w:ascii="Times New Roman" w:hAnsi="Times New Roman" w:cs="Times New Roman"/>
                <w:sz w:val="24"/>
                <w:szCs w:val="24"/>
              </w:rPr>
              <w:t xml:space="preserve">kapitlet, men </w:t>
            </w:r>
            <w:r w:rsidR="00FB77D2">
              <w:rPr>
                <w:rFonts w:ascii="Times New Roman" w:hAnsi="Times New Roman" w:cs="Times New Roman"/>
                <w:sz w:val="24"/>
                <w:szCs w:val="24"/>
              </w:rPr>
              <w:t xml:space="preserve">begreppen parallella linjer, allmän form och linjer parallella med koordinataxlarna saknas. Detta </w:t>
            </w:r>
            <w:r w:rsidR="00770B88">
              <w:rPr>
                <w:rFonts w:ascii="Times New Roman" w:hAnsi="Times New Roman" w:cs="Times New Roman"/>
                <w:sz w:val="24"/>
                <w:szCs w:val="24"/>
              </w:rPr>
              <w:t xml:space="preserve">behandlas i avsnittet </w:t>
            </w:r>
            <w:r w:rsidR="00770B88" w:rsidRPr="0020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Parallella och vinkelräta linjer</w:t>
            </w:r>
            <w:r w:rsidR="00770B88">
              <w:rPr>
                <w:rFonts w:ascii="Times New Roman" w:hAnsi="Times New Roman" w:cs="Times New Roman"/>
                <w:sz w:val="24"/>
                <w:szCs w:val="24"/>
              </w:rPr>
              <w:t xml:space="preserve">, upplaga 2 av Matematik Origo 2c, s. </w:t>
            </w:r>
            <w:r w:rsidR="00201EB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</w:tr>
      <w:tr w:rsidR="004403C5" w14:paraId="2CD6C0C9" w14:textId="77777777" w:rsidTr="00C05363">
        <w:tc>
          <w:tcPr>
            <w:tcW w:w="3020" w:type="dxa"/>
            <w:shd w:val="clear" w:color="auto" w:fill="C5E0B3" w:themeFill="accent6" w:themeFillTint="66"/>
          </w:tcPr>
          <w:p w14:paraId="2C808F93" w14:textId="4312422D" w:rsidR="004403C5" w:rsidRPr="00C05363" w:rsidRDefault="00574B36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Kapitel 5 – Statistik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5B10C15C" w14:textId="77777777" w:rsidR="004403C5" w:rsidRPr="00C05363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3C5" w14:paraId="40B2FB61" w14:textId="77777777" w:rsidTr="004403C5">
        <w:tc>
          <w:tcPr>
            <w:tcW w:w="3020" w:type="dxa"/>
          </w:tcPr>
          <w:p w14:paraId="2EE28654" w14:textId="39F8575D" w:rsidR="004403C5" w:rsidRPr="004D034E" w:rsidRDefault="00574B36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Tolka tabeller och diagram</w:t>
            </w:r>
          </w:p>
        </w:tc>
        <w:tc>
          <w:tcPr>
            <w:tcW w:w="6614" w:type="dxa"/>
          </w:tcPr>
          <w:p w14:paraId="43481DFB" w14:textId="25CBCE27" w:rsidR="004403C5" w:rsidRPr="004D034E" w:rsidRDefault="00A74BED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Enligt det centrala innehållet ska undervisningen behandla ”</w:t>
            </w:r>
            <w:r w:rsidRPr="00A74BED">
              <w:rPr>
                <w:rFonts w:ascii="Times New Roman" w:hAnsi="Times New Roman" w:cs="Times New Roman"/>
                <w:sz w:val="24"/>
                <w:szCs w:val="24"/>
              </w:rPr>
              <w:t>Exempel på hur några statistiska begrepp används i samhälle och inom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BED">
              <w:rPr>
                <w:rFonts w:ascii="Times New Roman" w:hAnsi="Times New Roman" w:cs="Times New Roman"/>
                <w:sz w:val="24"/>
                <w:szCs w:val="24"/>
              </w:rPr>
              <w:t>vetenskap, inklusive signifikans, korrelation, kausalitet, urvalsmetoder 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BED">
              <w:rPr>
                <w:rFonts w:ascii="Times New Roman" w:hAnsi="Times New Roman" w:cs="Times New Roman"/>
                <w:sz w:val="24"/>
                <w:szCs w:val="24"/>
              </w:rPr>
              <w:t>felkällor.”</w:t>
            </w:r>
            <w:r w:rsidR="003A2C07">
              <w:rPr>
                <w:rFonts w:ascii="Times New Roman" w:hAnsi="Times New Roman" w:cs="Times New Roman"/>
                <w:sz w:val="24"/>
                <w:szCs w:val="24"/>
              </w:rPr>
              <w:t xml:space="preserve"> Tabeller, diagram och vilseledande diagram </w:t>
            </w:r>
            <w:r w:rsidR="007963E8">
              <w:rPr>
                <w:rFonts w:ascii="Times New Roman" w:hAnsi="Times New Roman" w:cs="Times New Roman"/>
                <w:sz w:val="24"/>
                <w:szCs w:val="24"/>
              </w:rPr>
              <w:t>är</w:t>
            </w:r>
            <w:r w:rsidR="0074726F">
              <w:rPr>
                <w:rFonts w:ascii="Times New Roman" w:hAnsi="Times New Roman" w:cs="Times New Roman"/>
                <w:sz w:val="24"/>
                <w:szCs w:val="24"/>
              </w:rPr>
              <w:t xml:space="preserve"> exempel på statistiska begrepp, men eftersom de inte explicit nämns</w:t>
            </w:r>
            <w:r w:rsidR="007963E8">
              <w:rPr>
                <w:rFonts w:ascii="Times New Roman" w:hAnsi="Times New Roman" w:cs="Times New Roman"/>
                <w:sz w:val="24"/>
                <w:szCs w:val="24"/>
              </w:rPr>
              <w:t xml:space="preserve"> i det centrala innehållet</w:t>
            </w:r>
            <w:r w:rsidR="0074726F">
              <w:rPr>
                <w:rFonts w:ascii="Times New Roman" w:hAnsi="Times New Roman" w:cs="Times New Roman"/>
                <w:sz w:val="24"/>
                <w:szCs w:val="24"/>
              </w:rPr>
              <w:t xml:space="preserve">, kan </w:t>
            </w:r>
            <w:r w:rsidR="007963E8">
              <w:rPr>
                <w:rFonts w:ascii="Times New Roman" w:hAnsi="Times New Roman" w:cs="Times New Roman"/>
                <w:sz w:val="24"/>
                <w:szCs w:val="24"/>
              </w:rPr>
              <w:t>delkapitlet hoppas över.</w:t>
            </w:r>
          </w:p>
        </w:tc>
      </w:tr>
      <w:tr w:rsidR="004403C5" w14:paraId="38672E70" w14:textId="77777777" w:rsidTr="004403C5">
        <w:tc>
          <w:tcPr>
            <w:tcW w:w="3020" w:type="dxa"/>
          </w:tcPr>
          <w:p w14:paraId="72277F25" w14:textId="7FFB56FB" w:rsidR="004403C5" w:rsidRPr="004D034E" w:rsidRDefault="00416ED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Delkapitel 5.2 – </w:t>
            </w:r>
            <w:r w:rsidR="006469D7">
              <w:rPr>
                <w:rFonts w:ascii="Times New Roman" w:hAnsi="Times New Roman" w:cs="Times New Roman"/>
                <w:sz w:val="24"/>
                <w:szCs w:val="24"/>
              </w:rPr>
              <w:t>Granska statistik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</w:tcPr>
          <w:p w14:paraId="704594B7" w14:textId="04FDAF2D" w:rsidR="004403C5" w:rsidRPr="004D034E" w:rsidRDefault="006469D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Begreppet statistiskt säkerställd nämns i avsnittet</w:t>
            </w:r>
            <w:r w:rsidR="003C1753">
              <w:rPr>
                <w:rFonts w:ascii="Times New Roman" w:hAnsi="Times New Roman" w:cs="Times New Roman"/>
                <w:sz w:val="24"/>
                <w:szCs w:val="24"/>
              </w:rPr>
              <w:t xml:space="preserve"> Urval. Däremot nämns inte synonymen signifikans, som är det begrepp som förekommer i det centrala innehållet. </w:t>
            </w:r>
            <w:r w:rsidR="0016417E">
              <w:rPr>
                <w:rFonts w:ascii="Times New Roman" w:hAnsi="Times New Roman" w:cs="Times New Roman"/>
                <w:sz w:val="24"/>
                <w:szCs w:val="24"/>
              </w:rPr>
              <w:t>I den nya upplagan av Matematik Origo tas begreppet signifikans upp mer utförligt.</w:t>
            </w:r>
          </w:p>
        </w:tc>
      </w:tr>
      <w:tr w:rsidR="004403C5" w14:paraId="6D3B8B57" w14:textId="77777777" w:rsidTr="00D41710">
        <w:tc>
          <w:tcPr>
            <w:tcW w:w="3020" w:type="dxa"/>
            <w:shd w:val="clear" w:color="auto" w:fill="C5E0B3" w:themeFill="accent6" w:themeFillTint="66"/>
          </w:tcPr>
          <w:p w14:paraId="6DCBEAD3" w14:textId="7BB9AFDD" w:rsidR="004403C5" w:rsidRPr="00D41710" w:rsidRDefault="00D41710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Kapitel 6 – Sannolikhetslära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42FC89B4" w14:textId="77777777" w:rsidR="004403C5" w:rsidRPr="00D41710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3C5" w14:paraId="1650E420" w14:textId="77777777" w:rsidTr="004403C5">
        <w:tc>
          <w:tcPr>
            <w:tcW w:w="3020" w:type="dxa"/>
          </w:tcPr>
          <w:p w14:paraId="0CA6299F" w14:textId="7E843766" w:rsidR="004403C5" w:rsidRPr="004D034E" w:rsidRDefault="003273E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Delkapitel 6.1 – Enkla slumpförsök</w:t>
            </w:r>
          </w:p>
        </w:tc>
        <w:tc>
          <w:tcPr>
            <w:tcW w:w="6614" w:type="dxa"/>
          </w:tcPr>
          <w:p w14:paraId="5D97742E" w14:textId="66C858D3" w:rsidR="004403C5" w:rsidRPr="005C72C7" w:rsidRDefault="003273E7" w:rsidP="00EE670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Sannolikhetsberäkningar i ett </w:t>
            </w:r>
            <w:r w:rsidR="00156706">
              <w:rPr>
                <w:rFonts w:ascii="Times New Roman" w:hAnsi="Times New Roman" w:cs="Times New Roman"/>
                <w:sz w:val="24"/>
                <w:szCs w:val="24"/>
              </w:rPr>
              <w:t xml:space="preserve">steg förekommer inte </w:t>
            </w:r>
            <w:r w:rsidR="00B13E84">
              <w:rPr>
                <w:rFonts w:ascii="Times New Roman" w:hAnsi="Times New Roman" w:cs="Times New Roman"/>
                <w:sz w:val="24"/>
                <w:szCs w:val="24"/>
              </w:rPr>
              <w:t>längre</w:t>
            </w:r>
            <w:r w:rsidR="00156706">
              <w:rPr>
                <w:rFonts w:ascii="Times New Roman" w:hAnsi="Times New Roman" w:cs="Times New Roman"/>
                <w:sz w:val="24"/>
                <w:szCs w:val="24"/>
              </w:rPr>
              <w:t xml:space="preserve"> i det centrala innehållet</w:t>
            </w:r>
            <w:r w:rsidR="00B13E84">
              <w:rPr>
                <w:rFonts w:ascii="Times New Roman" w:hAnsi="Times New Roman" w:cs="Times New Roman"/>
                <w:sz w:val="24"/>
                <w:szCs w:val="24"/>
              </w:rPr>
              <w:t>. Delkapitlet k</w:t>
            </w:r>
            <w:r w:rsidR="00B13E84" w:rsidRPr="00A14CC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B13E84">
              <w:rPr>
                <w:rFonts w:ascii="Times New Roman" w:hAnsi="Times New Roman" w:cs="Times New Roman"/>
                <w:sz w:val="24"/>
                <w:szCs w:val="24"/>
              </w:rPr>
              <w:t xml:space="preserve"> därför</w:t>
            </w:r>
            <w:r w:rsidR="00B13E84"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strykas</w:t>
            </w:r>
            <w:r w:rsidR="00B13E84">
              <w:rPr>
                <w:rFonts w:ascii="Times New Roman" w:hAnsi="Times New Roman" w:cs="Times New Roman"/>
                <w:sz w:val="24"/>
                <w:szCs w:val="24"/>
              </w:rPr>
              <w:t xml:space="preserve"> eller nyttjas som repetition</w:t>
            </w:r>
            <w:r w:rsidR="00643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C5" w14:paraId="25D6BA94" w14:textId="77777777" w:rsidTr="00B01315">
        <w:tc>
          <w:tcPr>
            <w:tcW w:w="3020" w:type="dxa"/>
            <w:shd w:val="clear" w:color="auto" w:fill="C5E0B3" w:themeFill="accent6" w:themeFillTint="66"/>
          </w:tcPr>
          <w:p w14:paraId="1239649E" w14:textId="3ABB0904" w:rsidR="004403C5" w:rsidRPr="00B01315" w:rsidRDefault="00B01315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01315">
              <w:rPr>
                <w:b/>
                <w:bCs/>
                <w:sz w:val="24"/>
                <w:szCs w:val="24"/>
              </w:rPr>
              <w:t xml:space="preserve">Kapitel 7 – Geometri 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3ED5A98F" w14:textId="77777777" w:rsidR="004403C5" w:rsidRPr="00B01315" w:rsidRDefault="004403C5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403C5" w14:paraId="50CA5ACC" w14:textId="77777777" w:rsidTr="004403C5">
        <w:tc>
          <w:tcPr>
            <w:tcW w:w="3020" w:type="dxa"/>
          </w:tcPr>
          <w:p w14:paraId="0BB410DC" w14:textId="35733A94" w:rsidR="004403C5" w:rsidRPr="004B29D0" w:rsidRDefault="00B01315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 xml:space="preserve">Delkapitel 7.1 </w:t>
            </w:r>
            <w:r w:rsidR="00C40C37" w:rsidRPr="004B29D0">
              <w:rPr>
                <w:rFonts w:ascii="Times New Roman" w:hAnsi="Times New Roman" w:cs="Times New Roman"/>
                <w:sz w:val="24"/>
                <w:szCs w:val="24"/>
              </w:rPr>
              <w:t>– Matematiska bevis</w:t>
            </w:r>
          </w:p>
        </w:tc>
        <w:tc>
          <w:tcPr>
            <w:tcW w:w="6614" w:type="dxa"/>
          </w:tcPr>
          <w:p w14:paraId="15F77183" w14:textId="6162D49B" w:rsidR="004403C5" w:rsidRPr="004B29D0" w:rsidRDefault="00C40C3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>Innehållet i delkapitlet ingår inte längre i det centrala innehållet och kan därför strykas</w:t>
            </w:r>
            <w:r w:rsidR="004B29D0" w:rsidRPr="004B29D0">
              <w:rPr>
                <w:rFonts w:ascii="Times New Roman" w:hAnsi="Times New Roman" w:cs="Times New Roman"/>
                <w:sz w:val="24"/>
                <w:szCs w:val="24"/>
              </w:rPr>
              <w:t xml:space="preserve"> eller nyttjas som repetition.</w:t>
            </w:r>
          </w:p>
        </w:tc>
      </w:tr>
      <w:tr w:rsidR="004403C5" w14:paraId="528BE0D1" w14:textId="77777777" w:rsidTr="004403C5">
        <w:tc>
          <w:tcPr>
            <w:tcW w:w="3020" w:type="dxa"/>
          </w:tcPr>
          <w:p w14:paraId="66D70A43" w14:textId="391C665A" w:rsidR="004403C5" w:rsidRDefault="00D41FEB" w:rsidP="00EE6704">
            <w:pPr>
              <w:spacing w:line="276" w:lineRule="auto"/>
              <w:rPr>
                <w:sz w:val="24"/>
                <w:szCs w:val="24"/>
              </w:rPr>
            </w:pPr>
            <w:r w:rsidRPr="00A36FE0">
              <w:rPr>
                <w:rFonts w:ascii="Times New Roman" w:hAnsi="Times New Roman" w:cs="Times New Roman"/>
                <w:sz w:val="24"/>
                <w:szCs w:val="24"/>
              </w:rPr>
              <w:t>Delkapitel 7.2 – Trigonometri</w:t>
            </w:r>
          </w:p>
        </w:tc>
        <w:tc>
          <w:tcPr>
            <w:tcW w:w="6614" w:type="dxa"/>
          </w:tcPr>
          <w:p w14:paraId="62B19AC8" w14:textId="2DED5E8B" w:rsidR="004403C5" w:rsidRPr="00A14CCB" w:rsidRDefault="00D41FEB" w:rsidP="00EE6704">
            <w:pPr>
              <w:spacing w:line="276" w:lineRule="auto"/>
              <w:rPr>
                <w:sz w:val="24"/>
                <w:szCs w:val="24"/>
              </w:rPr>
            </w:pPr>
            <w:r w:rsidRPr="00B0335E">
              <w:rPr>
                <w:rFonts w:ascii="Times New Roman" w:hAnsi="Times New Roman" w:cs="Times New Roman"/>
                <w:sz w:val="24"/>
                <w:szCs w:val="24"/>
              </w:rPr>
              <w:t xml:space="preserve">I avsnittet </w:t>
            </w:r>
            <w:r w:rsidRPr="00B033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 bestämma vinklar</w:t>
            </w:r>
            <w:r w:rsidRPr="00B0335E">
              <w:rPr>
                <w:rFonts w:ascii="Times New Roman" w:hAnsi="Times New Roman" w:cs="Times New Roman"/>
                <w:sz w:val="24"/>
                <w:szCs w:val="24"/>
              </w:rPr>
              <w:t xml:space="preserve"> behandlas arcusfunktionerna arcsin, arccos och arctan.</w:t>
            </w:r>
            <w:r w:rsidR="00B0335E" w:rsidRPr="00B0335E">
              <w:rPr>
                <w:rFonts w:ascii="Times New Roman" w:hAnsi="Times New Roman" w:cs="Times New Roman"/>
                <w:sz w:val="24"/>
                <w:szCs w:val="24"/>
              </w:rPr>
              <w:t xml:space="preserve"> Däremot nämns inte begreppet invers. Det begreppet förekommer i det centrala innehållet och bör därför behandlas i samband med arcusfunktionerna.</w:t>
            </w:r>
          </w:p>
        </w:tc>
      </w:tr>
      <w:tr w:rsidR="004403C5" w14:paraId="215EED4A" w14:textId="77777777" w:rsidTr="004403C5">
        <w:tc>
          <w:tcPr>
            <w:tcW w:w="3020" w:type="dxa"/>
          </w:tcPr>
          <w:p w14:paraId="6BC6B6B9" w14:textId="6E301FB2" w:rsidR="004403C5" w:rsidRDefault="00A36FE0" w:rsidP="00EE6704">
            <w:pPr>
              <w:spacing w:line="276" w:lineRule="auto"/>
              <w:rPr>
                <w:sz w:val="24"/>
                <w:szCs w:val="24"/>
              </w:rPr>
            </w:pPr>
            <w:r w:rsidRPr="00B246A3">
              <w:rPr>
                <w:rFonts w:ascii="Times New Roman" w:hAnsi="Times New Roman" w:cs="Times New Roman"/>
                <w:sz w:val="24"/>
                <w:szCs w:val="24"/>
              </w:rPr>
              <w:t>Delkapitel 7.3 - Vektorer</w:t>
            </w:r>
          </w:p>
        </w:tc>
        <w:tc>
          <w:tcPr>
            <w:tcW w:w="6614" w:type="dxa"/>
          </w:tcPr>
          <w:p w14:paraId="415CD4DD" w14:textId="31EAAFC7" w:rsidR="004403C5" w:rsidRPr="00A14CCB" w:rsidRDefault="00A36FE0" w:rsidP="00EE6704">
            <w:pPr>
              <w:spacing w:line="276" w:lineRule="auto"/>
              <w:rPr>
                <w:sz w:val="24"/>
                <w:szCs w:val="24"/>
              </w:rPr>
            </w:pPr>
            <w:r w:rsidRPr="00101500">
              <w:rPr>
                <w:rFonts w:ascii="Times New Roman" w:hAnsi="Times New Roman" w:cs="Times New Roman"/>
                <w:sz w:val="24"/>
                <w:szCs w:val="24"/>
              </w:rPr>
              <w:t xml:space="preserve">Delkapitlet </w:t>
            </w:r>
            <w:r w:rsidR="00101500" w:rsidRPr="00101500">
              <w:rPr>
                <w:rFonts w:ascii="Times New Roman" w:hAnsi="Times New Roman" w:cs="Times New Roman"/>
                <w:sz w:val="24"/>
                <w:szCs w:val="24"/>
              </w:rPr>
              <w:t>behandlar allt centralt innehåll. Däremot nämns inte begreppet absolutbelopp i samband med vektorns längd. Detta begrepp finns med i det centrala innehållet</w:t>
            </w:r>
            <w:r w:rsidR="0010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8D9">
              <w:rPr>
                <w:rFonts w:ascii="Times New Roman" w:hAnsi="Times New Roman" w:cs="Times New Roman"/>
                <w:sz w:val="24"/>
                <w:szCs w:val="24"/>
              </w:rPr>
              <w:t xml:space="preserve">som synonym till vektorns längd </w:t>
            </w:r>
            <w:r w:rsidR="00101500">
              <w:rPr>
                <w:rFonts w:ascii="Times New Roman" w:hAnsi="Times New Roman" w:cs="Times New Roman"/>
                <w:sz w:val="24"/>
                <w:szCs w:val="24"/>
              </w:rPr>
              <w:t xml:space="preserve">och </w:t>
            </w:r>
            <w:r w:rsidR="00C73401">
              <w:rPr>
                <w:rFonts w:ascii="Times New Roman" w:hAnsi="Times New Roman" w:cs="Times New Roman"/>
                <w:sz w:val="24"/>
                <w:szCs w:val="24"/>
              </w:rPr>
              <w:t>bör därför nämnas</w:t>
            </w:r>
            <w:r w:rsidR="00DC78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2A65F48" w14:textId="77777777" w:rsidR="00D35E3A" w:rsidRDefault="00D35E3A"/>
    <w:sectPr w:rsidR="00D3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0A58" w14:textId="77777777" w:rsidR="0026003F" w:rsidRDefault="0026003F" w:rsidP="00F65F76">
      <w:pPr>
        <w:spacing w:after="0" w:line="240" w:lineRule="auto"/>
      </w:pPr>
      <w:r>
        <w:separator/>
      </w:r>
    </w:p>
  </w:endnote>
  <w:endnote w:type="continuationSeparator" w:id="0">
    <w:p w14:paraId="71D96713" w14:textId="77777777" w:rsidR="0026003F" w:rsidRDefault="0026003F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F940" w14:textId="77777777" w:rsidR="0026003F" w:rsidRDefault="0026003F" w:rsidP="00F65F76">
      <w:pPr>
        <w:spacing w:after="0" w:line="240" w:lineRule="auto"/>
      </w:pPr>
      <w:r>
        <w:separator/>
      </w:r>
    </w:p>
  </w:footnote>
  <w:footnote w:type="continuationSeparator" w:id="0">
    <w:p w14:paraId="5D2E2AF6" w14:textId="77777777" w:rsidR="0026003F" w:rsidRDefault="0026003F" w:rsidP="00F6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37B0B"/>
    <w:rsid w:val="000B1842"/>
    <w:rsid w:val="000B33F5"/>
    <w:rsid w:val="00101500"/>
    <w:rsid w:val="00124C6D"/>
    <w:rsid w:val="00156706"/>
    <w:rsid w:val="00160DDB"/>
    <w:rsid w:val="0016417E"/>
    <w:rsid w:val="00176124"/>
    <w:rsid w:val="001B1BA3"/>
    <w:rsid w:val="001C3049"/>
    <w:rsid w:val="00201EB7"/>
    <w:rsid w:val="0026003F"/>
    <w:rsid w:val="00301D57"/>
    <w:rsid w:val="003273E7"/>
    <w:rsid w:val="0034640F"/>
    <w:rsid w:val="00373FA6"/>
    <w:rsid w:val="003778DC"/>
    <w:rsid w:val="003860B6"/>
    <w:rsid w:val="003A2C07"/>
    <w:rsid w:val="003A368F"/>
    <w:rsid w:val="003C1753"/>
    <w:rsid w:val="003C54E3"/>
    <w:rsid w:val="003C5E67"/>
    <w:rsid w:val="00416ED7"/>
    <w:rsid w:val="004403C5"/>
    <w:rsid w:val="004602A8"/>
    <w:rsid w:val="004B29D0"/>
    <w:rsid w:val="004B70AA"/>
    <w:rsid w:val="004D034E"/>
    <w:rsid w:val="004E119A"/>
    <w:rsid w:val="004F410D"/>
    <w:rsid w:val="00573724"/>
    <w:rsid w:val="00574B36"/>
    <w:rsid w:val="005C3CD0"/>
    <w:rsid w:val="005C72C7"/>
    <w:rsid w:val="005F5ABD"/>
    <w:rsid w:val="006303CC"/>
    <w:rsid w:val="0064398C"/>
    <w:rsid w:val="006469D7"/>
    <w:rsid w:val="006F5BD7"/>
    <w:rsid w:val="00710373"/>
    <w:rsid w:val="00721E2F"/>
    <w:rsid w:val="00740841"/>
    <w:rsid w:val="0074726F"/>
    <w:rsid w:val="00770B88"/>
    <w:rsid w:val="007746B7"/>
    <w:rsid w:val="007963E8"/>
    <w:rsid w:val="00813553"/>
    <w:rsid w:val="008530B9"/>
    <w:rsid w:val="008838E5"/>
    <w:rsid w:val="00940FBF"/>
    <w:rsid w:val="0094386E"/>
    <w:rsid w:val="009C5132"/>
    <w:rsid w:val="009D685C"/>
    <w:rsid w:val="00A03C0C"/>
    <w:rsid w:val="00A14CCB"/>
    <w:rsid w:val="00A34529"/>
    <w:rsid w:val="00A363E7"/>
    <w:rsid w:val="00A36FE0"/>
    <w:rsid w:val="00A74BED"/>
    <w:rsid w:val="00AB04BD"/>
    <w:rsid w:val="00AB2E2C"/>
    <w:rsid w:val="00AE5314"/>
    <w:rsid w:val="00AF650D"/>
    <w:rsid w:val="00B01315"/>
    <w:rsid w:val="00B0335E"/>
    <w:rsid w:val="00B13E84"/>
    <w:rsid w:val="00B246A3"/>
    <w:rsid w:val="00B62B10"/>
    <w:rsid w:val="00BA35FB"/>
    <w:rsid w:val="00BE39C7"/>
    <w:rsid w:val="00BF33D4"/>
    <w:rsid w:val="00C05363"/>
    <w:rsid w:val="00C40C37"/>
    <w:rsid w:val="00C53F96"/>
    <w:rsid w:val="00C73401"/>
    <w:rsid w:val="00CB745F"/>
    <w:rsid w:val="00CE316B"/>
    <w:rsid w:val="00D204D3"/>
    <w:rsid w:val="00D35E3A"/>
    <w:rsid w:val="00D41710"/>
    <w:rsid w:val="00D41FEB"/>
    <w:rsid w:val="00D86FF5"/>
    <w:rsid w:val="00D94658"/>
    <w:rsid w:val="00D97868"/>
    <w:rsid w:val="00DC78D9"/>
    <w:rsid w:val="00E530D2"/>
    <w:rsid w:val="00E81BDD"/>
    <w:rsid w:val="00E92D0D"/>
    <w:rsid w:val="00E94DCD"/>
    <w:rsid w:val="00EB6F85"/>
    <w:rsid w:val="00EE6704"/>
    <w:rsid w:val="00EF433D"/>
    <w:rsid w:val="00EF447E"/>
    <w:rsid w:val="00F36BAF"/>
    <w:rsid w:val="00F65F76"/>
    <w:rsid w:val="00F75E2B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Erik Sundberg</cp:lastModifiedBy>
  <cp:revision>4</cp:revision>
  <dcterms:created xsi:type="dcterms:W3CDTF">2021-06-17T14:15:00Z</dcterms:created>
  <dcterms:modified xsi:type="dcterms:W3CDTF">2021-06-24T06:35:00Z</dcterms:modified>
</cp:coreProperties>
</file>