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03B9" w14:textId="133FCFB7" w:rsidR="000B731F" w:rsidRPr="00B246A3" w:rsidRDefault="00E94DCD">
      <w:pPr>
        <w:rPr>
          <w:rFonts w:ascii="Times New Roman" w:hAnsi="Times New Roman" w:cs="Times New Roman"/>
          <w:sz w:val="36"/>
          <w:szCs w:val="36"/>
        </w:rPr>
      </w:pPr>
      <w:r w:rsidRPr="00B246A3">
        <w:rPr>
          <w:rFonts w:ascii="Times New Roman" w:hAnsi="Times New Roman" w:cs="Times New Roman"/>
          <w:sz w:val="36"/>
          <w:szCs w:val="36"/>
        </w:rPr>
        <w:t xml:space="preserve">Matematik Origo </w:t>
      </w:r>
      <w:r w:rsidR="00D97BEC">
        <w:rPr>
          <w:rFonts w:ascii="Times New Roman" w:hAnsi="Times New Roman" w:cs="Times New Roman"/>
          <w:sz w:val="36"/>
          <w:szCs w:val="36"/>
        </w:rPr>
        <w:t>2</w:t>
      </w:r>
      <w:r w:rsidR="00A82125">
        <w:rPr>
          <w:rFonts w:ascii="Times New Roman" w:hAnsi="Times New Roman" w:cs="Times New Roman"/>
          <w:sz w:val="36"/>
          <w:szCs w:val="36"/>
        </w:rPr>
        <w:t>c</w:t>
      </w:r>
      <w:r w:rsidRPr="00B246A3">
        <w:rPr>
          <w:rFonts w:ascii="Times New Roman" w:hAnsi="Times New Roman" w:cs="Times New Roman"/>
          <w:sz w:val="36"/>
          <w:szCs w:val="36"/>
        </w:rPr>
        <w:t xml:space="preserve"> </w:t>
      </w:r>
      <w:r w:rsidR="00A27B87">
        <w:rPr>
          <w:rFonts w:ascii="Times New Roman" w:hAnsi="Times New Roman" w:cs="Times New Roman"/>
          <w:sz w:val="36"/>
          <w:szCs w:val="36"/>
        </w:rPr>
        <w:t>u</w:t>
      </w:r>
      <w:r w:rsidRPr="00B246A3">
        <w:rPr>
          <w:rFonts w:ascii="Times New Roman" w:hAnsi="Times New Roman" w:cs="Times New Roman"/>
          <w:sz w:val="36"/>
          <w:szCs w:val="36"/>
        </w:rPr>
        <w:t>pplaga 2</w:t>
      </w:r>
      <w:r w:rsidR="00B246A3" w:rsidRPr="00B246A3">
        <w:rPr>
          <w:rFonts w:ascii="Times New Roman" w:hAnsi="Times New Roman" w:cs="Times New Roman"/>
          <w:sz w:val="36"/>
          <w:szCs w:val="36"/>
        </w:rPr>
        <w:t xml:space="preserve"> och den nya ämnesplanen</w:t>
      </w:r>
    </w:p>
    <w:p w14:paraId="664C976A" w14:textId="15EF8254" w:rsidR="00E94DCD" w:rsidRPr="00A14CCB" w:rsidRDefault="00B2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tabellen här nedanför</w:t>
      </w:r>
      <w:r w:rsidR="00E94DCD" w:rsidRPr="00A14CCB">
        <w:rPr>
          <w:rFonts w:ascii="Times New Roman" w:hAnsi="Times New Roman" w:cs="Times New Roman"/>
        </w:rPr>
        <w:t xml:space="preserve"> beskriver vi hur Matematik Origo </w:t>
      </w:r>
      <w:r w:rsidR="00D97BEC">
        <w:rPr>
          <w:rFonts w:ascii="Times New Roman" w:hAnsi="Times New Roman" w:cs="Times New Roman"/>
        </w:rPr>
        <w:t>2</w:t>
      </w:r>
      <w:r w:rsidR="00A82125">
        <w:rPr>
          <w:rFonts w:ascii="Times New Roman" w:hAnsi="Times New Roman" w:cs="Times New Roman"/>
        </w:rPr>
        <w:t>c</w:t>
      </w:r>
      <w:r w:rsidR="00E94DCD" w:rsidRPr="00A14CCB">
        <w:rPr>
          <w:rFonts w:ascii="Times New Roman" w:hAnsi="Times New Roman" w:cs="Times New Roman"/>
        </w:rPr>
        <w:t xml:space="preserve"> upplaga 2 skiljer sig från den nya ämnesplanen och hur man kan använda övriga Origo-böcker </w:t>
      </w:r>
      <w:r w:rsidR="00EE6704">
        <w:rPr>
          <w:rFonts w:ascii="Times New Roman" w:hAnsi="Times New Roman" w:cs="Times New Roman"/>
        </w:rPr>
        <w:t>som komplement</w:t>
      </w:r>
      <w:r w:rsidR="00D35E3A" w:rsidRPr="00A14CCB">
        <w:rPr>
          <w:rFonts w:ascii="Times New Roman" w:hAnsi="Times New Roman" w:cs="Times New Roman"/>
        </w:rPr>
        <w:t>.</w:t>
      </w:r>
    </w:p>
    <w:p w14:paraId="30EED2D4" w14:textId="551ADD3D" w:rsidR="00D35E3A" w:rsidRPr="00A14CCB" w:rsidRDefault="00D35E3A">
      <w:pPr>
        <w:rPr>
          <w:rFonts w:ascii="Times New Roman" w:hAnsi="Times New Roman" w:cs="Times New Roman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A14CCB" w:rsidRPr="00A14CCB" w14:paraId="580D7944" w14:textId="77777777" w:rsidTr="000A4777">
        <w:tc>
          <w:tcPr>
            <w:tcW w:w="3114" w:type="dxa"/>
          </w:tcPr>
          <w:p w14:paraId="3934A748" w14:textId="37CC5E95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</w:p>
        </w:tc>
        <w:tc>
          <w:tcPr>
            <w:tcW w:w="6520" w:type="dxa"/>
          </w:tcPr>
          <w:p w14:paraId="340251EB" w14:textId="2D5E1CDA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8D5DAD" w:rsidRPr="00A14CCB" w14:paraId="3E342614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7855D1CD" w14:textId="03C36398" w:rsidR="008D5DAD" w:rsidRPr="004F410D" w:rsidRDefault="008D5DAD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1 – 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Algebra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0F5EAD89" w14:textId="77777777" w:rsidR="008D5DAD" w:rsidRPr="00A14CCB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AD" w:rsidRPr="00A14CCB" w14:paraId="319E74E6" w14:textId="77777777" w:rsidTr="00597CC4">
        <w:tc>
          <w:tcPr>
            <w:tcW w:w="3114" w:type="dxa"/>
            <w:shd w:val="clear" w:color="auto" w:fill="auto"/>
          </w:tcPr>
          <w:p w14:paraId="71E26929" w14:textId="7759318C" w:rsidR="008D5DAD" w:rsidRPr="008D5DAD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36435C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6520" w:type="dxa"/>
            <w:shd w:val="clear" w:color="auto" w:fill="auto"/>
          </w:tcPr>
          <w:p w14:paraId="15E948E7" w14:textId="67769532" w:rsidR="008D5DAD" w:rsidRPr="00AC51BF" w:rsidRDefault="0036435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första avsnittet ”</w:t>
            </w:r>
            <w:r w:rsidR="00A27B87">
              <w:rPr>
                <w:rFonts w:ascii="Times New Roman" w:hAnsi="Times New Roman" w:cs="Times New Roman"/>
                <w:sz w:val="24"/>
                <w:szCs w:val="24"/>
              </w:rPr>
              <w:t>Multiplikation av uttryck inom parenteser</w:t>
            </w:r>
            <w:r w:rsidR="003E479A">
              <w:rPr>
                <w:rFonts w:ascii="Times New Roman" w:hAnsi="Times New Roman" w:cs="Times New Roman"/>
                <w:sz w:val="24"/>
                <w:szCs w:val="24"/>
              </w:rPr>
              <w:t xml:space="preserve">” är inte längre en del av det centrala innehållet, men kan nyttjas som repetition. </w:t>
            </w:r>
          </w:p>
        </w:tc>
      </w:tr>
      <w:tr w:rsidR="008D5DAD" w:rsidRPr="00A14CCB" w14:paraId="5DE6D51F" w14:textId="77777777" w:rsidTr="00597CC4">
        <w:tc>
          <w:tcPr>
            <w:tcW w:w="3114" w:type="dxa"/>
            <w:shd w:val="clear" w:color="auto" w:fill="auto"/>
          </w:tcPr>
          <w:p w14:paraId="2178B669" w14:textId="703DD79E" w:rsidR="008D5DAD" w:rsidRPr="007A794C" w:rsidRDefault="007A794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832D0B">
              <w:rPr>
                <w:rFonts w:ascii="Times New Roman" w:hAnsi="Times New Roman" w:cs="Times New Roman"/>
                <w:sz w:val="24"/>
                <w:szCs w:val="24"/>
              </w:rPr>
              <w:t>Andragradsekvationer</w:t>
            </w:r>
          </w:p>
        </w:tc>
        <w:tc>
          <w:tcPr>
            <w:tcW w:w="6520" w:type="dxa"/>
            <w:shd w:val="clear" w:color="auto" w:fill="auto"/>
          </w:tcPr>
          <w:p w14:paraId="2EFA9304" w14:textId="40CAE665" w:rsidR="008D5DAD" w:rsidRPr="00A14CCB" w:rsidRDefault="00832D0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Observera att avsnittet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Andragradsekvationer och komplexa 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 längre ingår i det centrala innehållet.</w:t>
            </w:r>
          </w:p>
        </w:tc>
      </w:tr>
      <w:tr w:rsidR="007A794C" w:rsidRPr="00A14CCB" w14:paraId="4DCA63FA" w14:textId="77777777" w:rsidTr="00597CC4">
        <w:tc>
          <w:tcPr>
            <w:tcW w:w="3114" w:type="dxa"/>
            <w:shd w:val="clear" w:color="auto" w:fill="auto"/>
          </w:tcPr>
          <w:p w14:paraId="08780F70" w14:textId="7AD5871D" w:rsidR="007A794C" w:rsidRDefault="007A794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BB6D63">
              <w:rPr>
                <w:rFonts w:ascii="Times New Roman" w:hAnsi="Times New Roman" w:cs="Times New Roman"/>
                <w:sz w:val="24"/>
                <w:szCs w:val="24"/>
              </w:rPr>
              <w:t>Mer om andragradsekvationer</w:t>
            </w:r>
          </w:p>
        </w:tc>
        <w:tc>
          <w:tcPr>
            <w:tcW w:w="6520" w:type="dxa"/>
            <w:shd w:val="clear" w:color="auto" w:fill="auto"/>
          </w:tcPr>
          <w:p w14:paraId="00F4E38E" w14:textId="1B2F1AAE" w:rsidR="007A794C" w:rsidRPr="00A14CCB" w:rsidRDefault="007923E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Delkapitlet kan läsas i sin helhet. </w:t>
            </w:r>
            <w:r w:rsidR="002C5D57">
              <w:rPr>
                <w:rFonts w:ascii="Times New Roman" w:hAnsi="Times New Roman" w:cs="Times New Roman"/>
                <w:sz w:val="24"/>
                <w:szCs w:val="24"/>
              </w:rPr>
              <w:t xml:space="preserve">I det centrala innehållet finns ”Användning av digitala verktyg för att effektivisera beräkningar och komplettera metoder till exempel vid ekvationslösning”. Här kan </w:t>
            </w:r>
            <w:r w:rsidR="00533401">
              <w:rPr>
                <w:rFonts w:ascii="Times New Roman" w:hAnsi="Times New Roman" w:cs="Times New Roman"/>
                <w:sz w:val="24"/>
                <w:szCs w:val="24"/>
              </w:rPr>
              <w:t xml:space="preserve">man därför välja att </w:t>
            </w:r>
            <w:r w:rsidR="002C5D57">
              <w:rPr>
                <w:rFonts w:ascii="Times New Roman" w:hAnsi="Times New Roman" w:cs="Times New Roman"/>
                <w:sz w:val="24"/>
                <w:szCs w:val="24"/>
              </w:rPr>
              <w:t>komplettera med t.ex. applikationer som GeoGebra.</w:t>
            </w:r>
          </w:p>
        </w:tc>
      </w:tr>
      <w:tr w:rsidR="009C5132" w:rsidRPr="00A14CCB" w14:paraId="750A3613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331A5DF4" w14:textId="2252CCB5" w:rsidR="009C5132" w:rsidRPr="00AE5314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A54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Ekvationer och ekvationssystem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4767D2AE" w14:textId="77777777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7C99AC4C" w14:textId="77777777" w:rsidTr="000A4777">
        <w:tc>
          <w:tcPr>
            <w:tcW w:w="3114" w:type="dxa"/>
          </w:tcPr>
          <w:p w14:paraId="2463E84A" w14:textId="2A944F90" w:rsidR="009C5132" w:rsidRPr="00AE5314" w:rsidRDefault="00A54909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45F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Räta linjens ekvation</w:t>
            </w:r>
          </w:p>
        </w:tc>
        <w:tc>
          <w:tcPr>
            <w:tcW w:w="6520" w:type="dxa"/>
          </w:tcPr>
          <w:p w14:paraId="6CE086A0" w14:textId="63D5485E" w:rsidR="009C5132" w:rsidRPr="00A14CCB" w:rsidRDefault="002C5D5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Innehållet </w:t>
            </w:r>
            <w:r w:rsidR="001141C0">
              <w:rPr>
                <w:rFonts w:ascii="Times New Roman" w:hAnsi="Times New Roman" w:cs="Times New Roman"/>
                <w:sz w:val="24"/>
                <w:szCs w:val="24"/>
              </w:rPr>
              <w:t xml:space="preserve">i delkapitlet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är inte </w:t>
            </w:r>
            <w:r w:rsidR="001141C0">
              <w:rPr>
                <w:rFonts w:ascii="Times New Roman" w:hAnsi="Times New Roman" w:cs="Times New Roman"/>
                <w:sz w:val="24"/>
                <w:szCs w:val="24"/>
              </w:rPr>
              <w:t xml:space="preserve">längre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del av det centrala innehållet</w:t>
            </w:r>
            <w:r w:rsidR="001141C0">
              <w:rPr>
                <w:rFonts w:ascii="Times New Roman" w:hAnsi="Times New Roman" w:cs="Times New Roman"/>
                <w:sz w:val="24"/>
                <w:szCs w:val="24"/>
              </w:rPr>
              <w:t>, utan behandlas numera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261A5"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141C0">
              <w:rPr>
                <w:rFonts w:ascii="Times New Roman" w:hAnsi="Times New Roman" w:cs="Times New Roman"/>
                <w:sz w:val="24"/>
                <w:szCs w:val="24"/>
              </w:rPr>
              <w:t>. Delkapitlet kan nyttjas som repetition.</w:t>
            </w:r>
          </w:p>
        </w:tc>
      </w:tr>
      <w:tr w:rsidR="009C5132" w:rsidRPr="00A14CCB" w14:paraId="6E21F820" w14:textId="77777777" w:rsidTr="000A4777">
        <w:tc>
          <w:tcPr>
            <w:tcW w:w="3114" w:type="dxa"/>
          </w:tcPr>
          <w:p w14:paraId="0E9387BA" w14:textId="6E32636B" w:rsidR="009C5132" w:rsidRPr="00A14CCB" w:rsidRDefault="00A54909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Ekvationssystem</w:t>
            </w:r>
          </w:p>
        </w:tc>
        <w:tc>
          <w:tcPr>
            <w:tcW w:w="6520" w:type="dxa"/>
          </w:tcPr>
          <w:p w14:paraId="15295802" w14:textId="3EDECE2C" w:rsidR="009C5132" w:rsidRPr="00A14CCB" w:rsidRDefault="00F21FE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Delkapitlet ingår i det centrala innehållet.</w:t>
            </w:r>
          </w:p>
        </w:tc>
      </w:tr>
      <w:tr w:rsidR="009C5132" w14:paraId="49A82BA8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1D126FAD" w14:textId="26DC2343" w:rsidR="009C5132" w:rsidRPr="008D5DAD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3C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9C0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Logaritmer 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755E9C89" w14:textId="77777777" w:rsidR="009C5132" w:rsidRPr="004403C5" w:rsidRDefault="009C5132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4403C5" w14:paraId="26EB3711" w14:textId="77777777" w:rsidTr="000A4777">
        <w:tc>
          <w:tcPr>
            <w:tcW w:w="3114" w:type="dxa"/>
          </w:tcPr>
          <w:p w14:paraId="6FDD3FA1" w14:textId="1E29D4B5" w:rsidR="004403C5" w:rsidRPr="00D86FF5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04E">
              <w:rPr>
                <w:rFonts w:ascii="Times New Roman" w:hAnsi="Times New Roman" w:cs="Times New Roman"/>
                <w:sz w:val="24"/>
                <w:szCs w:val="24"/>
              </w:rPr>
              <w:t>1 Exponentialekvationer</w:t>
            </w:r>
          </w:p>
        </w:tc>
        <w:tc>
          <w:tcPr>
            <w:tcW w:w="6520" w:type="dxa"/>
          </w:tcPr>
          <w:p w14:paraId="15DEFF0C" w14:textId="3E36472B" w:rsidR="004403C5" w:rsidRPr="00455734" w:rsidRDefault="00FB0E6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Delkapitlet ingår i det centrala innehållet.</w:t>
            </w:r>
          </w:p>
        </w:tc>
      </w:tr>
      <w:tr w:rsidR="009C3CFE" w14:paraId="7E883F7F" w14:textId="77777777" w:rsidTr="000A4777">
        <w:tc>
          <w:tcPr>
            <w:tcW w:w="3114" w:type="dxa"/>
          </w:tcPr>
          <w:p w14:paraId="3A1372E5" w14:textId="321C186A" w:rsidR="009C3CFE" w:rsidRPr="00D86FF5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6626D">
              <w:rPr>
                <w:rFonts w:ascii="Times New Roman" w:hAnsi="Times New Roman" w:cs="Times New Roman"/>
                <w:sz w:val="24"/>
                <w:szCs w:val="24"/>
              </w:rPr>
              <w:t>2 Logaritmlagarna</w:t>
            </w:r>
          </w:p>
        </w:tc>
        <w:tc>
          <w:tcPr>
            <w:tcW w:w="6520" w:type="dxa"/>
          </w:tcPr>
          <w:p w14:paraId="172B988E" w14:textId="09ABC9DD" w:rsidR="009C3CFE" w:rsidRDefault="00F21FE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Delkapitlet ingår i det centrala innehållet</w:t>
            </w:r>
            <w:r w:rsidR="00F6626D">
              <w:rPr>
                <w:rFonts w:ascii="Times New Roman" w:hAnsi="Times New Roman" w:cs="Times New Roman"/>
                <w:sz w:val="24"/>
                <w:szCs w:val="24"/>
              </w:rPr>
              <w:t xml:space="preserve">, men avsnittet </w:t>
            </w:r>
            <w:r w:rsidR="00F6626D" w:rsidRPr="00F66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Logaritmer i andra baser</w:t>
            </w:r>
            <w:r w:rsidR="00F6626D">
              <w:rPr>
                <w:rFonts w:ascii="Times New Roman" w:hAnsi="Times New Roman" w:cs="Times New Roman"/>
                <w:sz w:val="24"/>
                <w:szCs w:val="24"/>
              </w:rPr>
              <w:t xml:space="preserve"> kan betraktas som fördjupning.</w:t>
            </w:r>
          </w:p>
        </w:tc>
      </w:tr>
      <w:tr w:rsidR="004403C5" w14:paraId="71F4AD99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04DAB088" w14:textId="26781ADE" w:rsidR="004403C5" w:rsidRPr="008D5DAD" w:rsidRDefault="00BE39C7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BE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Geometri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54B2FF30" w14:textId="77777777" w:rsidR="004403C5" w:rsidRPr="00A14CCB" w:rsidRDefault="004403C5" w:rsidP="00EE67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2D05" w14:paraId="410896FD" w14:textId="77777777" w:rsidTr="000A4777">
        <w:tc>
          <w:tcPr>
            <w:tcW w:w="3114" w:type="dxa"/>
          </w:tcPr>
          <w:p w14:paraId="240862D7" w14:textId="0997F972" w:rsidR="00BE2D05" w:rsidRDefault="00BE2D05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Analytisk geometri</w:t>
            </w:r>
          </w:p>
        </w:tc>
        <w:tc>
          <w:tcPr>
            <w:tcW w:w="6520" w:type="dxa"/>
          </w:tcPr>
          <w:p w14:paraId="70C49803" w14:textId="2864AD40" w:rsidR="00BE2D05" w:rsidRDefault="00C8502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det centrala innehållet ingår klassiska geometriska satser, inklusive </w:t>
            </w:r>
            <w:r w:rsidR="002A36B6">
              <w:rPr>
                <w:rFonts w:ascii="Times New Roman" w:hAnsi="Times New Roman" w:cs="Times New Roman"/>
                <w:sz w:val="24"/>
                <w:szCs w:val="24"/>
              </w:rPr>
              <w:t xml:space="preserve">exempel som omfattar beräkningar i koordinatsystem. Parabelns ekvation ingår inte längre </w:t>
            </w:r>
            <w:r w:rsidR="002A36B6" w:rsidRPr="00C27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explicit</w:t>
            </w:r>
            <w:r w:rsidR="002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338">
              <w:rPr>
                <w:rFonts w:ascii="Times New Roman" w:hAnsi="Times New Roman" w:cs="Times New Roman"/>
                <w:sz w:val="24"/>
                <w:szCs w:val="24"/>
              </w:rPr>
              <w:t>i denna formulering</w:t>
            </w:r>
            <w:r w:rsidR="00C2794D">
              <w:rPr>
                <w:rFonts w:ascii="Times New Roman" w:hAnsi="Times New Roman" w:cs="Times New Roman"/>
                <w:sz w:val="24"/>
                <w:szCs w:val="24"/>
              </w:rPr>
              <w:t xml:space="preserve"> och man kan </w:t>
            </w:r>
            <w:r w:rsidR="00654557">
              <w:rPr>
                <w:rFonts w:ascii="Times New Roman" w:hAnsi="Times New Roman" w:cs="Times New Roman"/>
                <w:sz w:val="24"/>
                <w:szCs w:val="24"/>
              </w:rPr>
              <w:t xml:space="preserve">därför </w:t>
            </w:r>
            <w:r w:rsidR="00C2794D">
              <w:rPr>
                <w:rFonts w:ascii="Times New Roman" w:hAnsi="Times New Roman" w:cs="Times New Roman"/>
                <w:sz w:val="24"/>
                <w:szCs w:val="24"/>
              </w:rPr>
              <w:t>välja om man vill behandla den eller inte</w:t>
            </w:r>
            <w:r w:rsidR="00691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C5" w14:paraId="7FD366C7" w14:textId="77777777" w:rsidTr="000A4777">
        <w:tc>
          <w:tcPr>
            <w:tcW w:w="3114" w:type="dxa"/>
          </w:tcPr>
          <w:p w14:paraId="12F52909" w14:textId="66006733" w:rsidR="004403C5" w:rsidRPr="003C54E3" w:rsidRDefault="00C2794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3A368F" w:rsidRPr="003C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58D">
              <w:rPr>
                <w:rFonts w:ascii="Times New Roman" w:hAnsi="Times New Roman" w:cs="Times New Roman"/>
                <w:sz w:val="24"/>
                <w:szCs w:val="24"/>
              </w:rPr>
              <w:t>Klassiska geometriska satser</w:t>
            </w:r>
          </w:p>
        </w:tc>
        <w:tc>
          <w:tcPr>
            <w:tcW w:w="6520" w:type="dxa"/>
          </w:tcPr>
          <w:p w14:paraId="6233FF3B" w14:textId="255C780D" w:rsidR="00FB6DC7" w:rsidRPr="00E87C5E" w:rsidRDefault="0026580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Delkapitlet ingår i det centrala innehållet. </w:t>
            </w:r>
            <w:r w:rsidR="00455734">
              <w:rPr>
                <w:rFonts w:ascii="Times New Roman" w:hAnsi="Times New Roman" w:cs="Times New Roman"/>
                <w:sz w:val="24"/>
                <w:szCs w:val="24"/>
              </w:rPr>
              <w:t>Dessutom har</w:t>
            </w:r>
            <w:r w:rsidR="00E87C5E">
              <w:rPr>
                <w:rFonts w:ascii="Times New Roman" w:hAnsi="Times New Roman" w:cs="Times New Roman"/>
                <w:sz w:val="24"/>
                <w:szCs w:val="24"/>
              </w:rPr>
              <w:t xml:space="preserve"> från </w:t>
            </w:r>
            <w:r w:rsidR="009F2BBB"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  <w:r w:rsidR="00E87C5E">
              <w:rPr>
                <w:rFonts w:ascii="Times New Roman" w:hAnsi="Times New Roman" w:cs="Times New Roman"/>
                <w:sz w:val="24"/>
                <w:szCs w:val="24"/>
              </w:rPr>
              <w:t xml:space="preserve"> 1 tillkommit </w:t>
            </w:r>
            <w:r w:rsidR="00D54C97">
              <w:rPr>
                <w:rFonts w:ascii="Times New Roman" w:hAnsi="Times New Roman" w:cs="Times New Roman"/>
                <w:sz w:val="24"/>
                <w:szCs w:val="24"/>
              </w:rPr>
              <w:t xml:space="preserve">Pythagoras sats, begreppen implikation och ekvivalens samt </w:t>
            </w:r>
            <w:r w:rsidR="00E87C5E">
              <w:rPr>
                <w:rFonts w:ascii="Times New Roman" w:hAnsi="Times New Roman" w:cs="Times New Roman"/>
                <w:sz w:val="24"/>
                <w:szCs w:val="24"/>
              </w:rPr>
              <w:t xml:space="preserve">definition, sats och bevis. </w:t>
            </w:r>
            <w:r w:rsidR="00D54C97">
              <w:rPr>
                <w:rFonts w:ascii="Times New Roman" w:hAnsi="Times New Roman" w:cs="Times New Roman"/>
                <w:sz w:val="24"/>
                <w:szCs w:val="24"/>
              </w:rPr>
              <w:t xml:space="preserve">Det behandlas i delkapitel </w:t>
            </w:r>
            <w:r w:rsidR="00C522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7.1</w:t>
            </w:r>
            <w:r w:rsidR="00D5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C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Matematiska bevis </w:t>
            </w:r>
            <w:r w:rsidR="00D54C97" w:rsidRPr="00D54C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4C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54C97"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r w:rsidR="00E87C5E">
              <w:rPr>
                <w:rFonts w:ascii="Times New Roman" w:hAnsi="Times New Roman" w:cs="Times New Roman"/>
                <w:sz w:val="24"/>
                <w:szCs w:val="24"/>
              </w:rPr>
              <w:t>Origo 1</w:t>
            </w:r>
            <w:r w:rsidR="00C522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54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C5" w14:paraId="2CD6C0C9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2C808F93" w14:textId="646BE9E8" w:rsidR="004403C5" w:rsidRPr="00C05363" w:rsidRDefault="00574B36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654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0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Statistik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5B10C15C" w14:textId="77777777" w:rsidR="004403C5" w:rsidRPr="00C05363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3C5" w14:paraId="40B2FB61" w14:textId="77777777" w:rsidTr="000A4777">
        <w:tc>
          <w:tcPr>
            <w:tcW w:w="3114" w:type="dxa"/>
          </w:tcPr>
          <w:p w14:paraId="2EE28654" w14:textId="2069EE9C" w:rsidR="004403C5" w:rsidRPr="004D034E" w:rsidRDefault="00654557" w:rsidP="00EE67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B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Sammanställa och bearbeta data</w:t>
            </w:r>
          </w:p>
        </w:tc>
        <w:tc>
          <w:tcPr>
            <w:tcW w:w="6520" w:type="dxa"/>
          </w:tcPr>
          <w:p w14:paraId="43481DFB" w14:textId="315B7F11" w:rsidR="004403C5" w:rsidRPr="004D034E" w:rsidRDefault="00F21FEB" w:rsidP="00EE67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Delkapitlet ingår i det centrala innehållet</w:t>
            </w:r>
            <w:r w:rsidR="00524AB4">
              <w:rPr>
                <w:rFonts w:ascii="Times New Roman" w:hAnsi="Times New Roman" w:cs="Times New Roman"/>
                <w:sz w:val="24"/>
                <w:szCs w:val="24"/>
              </w:rPr>
              <w:t xml:space="preserve">, men behöver kompletteras med metoder för att </w:t>
            </w:r>
            <w:r w:rsidR="00524AB4" w:rsidRPr="00524A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digitalt</w:t>
            </w:r>
            <w:r w:rsidR="00524AB4">
              <w:rPr>
                <w:rFonts w:ascii="Times New Roman" w:hAnsi="Times New Roman" w:cs="Times New Roman"/>
                <w:sz w:val="24"/>
                <w:szCs w:val="24"/>
              </w:rPr>
              <w:t xml:space="preserve"> bestämma lägesmått och spridningsmått samt göra beräkningar på normalfördelat material.</w:t>
            </w:r>
          </w:p>
        </w:tc>
      </w:tr>
      <w:tr w:rsidR="004403C5" w14:paraId="38672E70" w14:textId="77777777" w:rsidTr="000A4777">
        <w:tc>
          <w:tcPr>
            <w:tcW w:w="3114" w:type="dxa"/>
          </w:tcPr>
          <w:p w14:paraId="72277F25" w14:textId="0F0CE2B1" w:rsidR="004403C5" w:rsidRPr="004D034E" w:rsidRDefault="0065455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16ED7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Statistiska samband</w:t>
            </w:r>
            <w:r w:rsidR="0041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704594B7" w14:textId="33EAC6B2" w:rsidR="007637BB" w:rsidRPr="007637BB" w:rsidRDefault="007230A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Avsnittet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Korrelation och kausalitet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hör inte längre till det centrala innehållet</w:t>
            </w:r>
            <w:r w:rsidR="00574DA1">
              <w:rPr>
                <w:rFonts w:ascii="Times New Roman" w:hAnsi="Times New Roman" w:cs="Times New Roman"/>
                <w:sz w:val="24"/>
                <w:szCs w:val="24"/>
              </w:rPr>
              <w:t xml:space="preserve"> utan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ehandlas i </w:t>
            </w:r>
            <w:r w:rsidR="00574DA1"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443E51">
              <w:rPr>
                <w:rFonts w:ascii="Times New Roman" w:hAnsi="Times New Roman" w:cs="Times New Roman"/>
                <w:sz w:val="24"/>
                <w:szCs w:val="24"/>
              </w:rPr>
              <w:t>Däremot 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E51" w:rsidRPr="00443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43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egressionsanalys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del av det centrala innehållet. </w:t>
            </w:r>
            <w:r w:rsidR="00443E51">
              <w:rPr>
                <w:rFonts w:ascii="Times New Roman" w:hAnsi="Times New Roman" w:cs="Times New Roman"/>
                <w:sz w:val="24"/>
                <w:szCs w:val="24"/>
              </w:rPr>
              <w:t>I Matematik Origo 2</w:t>
            </w:r>
            <w:r w:rsidR="006A007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43E51">
              <w:rPr>
                <w:rFonts w:ascii="Times New Roman" w:hAnsi="Times New Roman" w:cs="Times New Roman"/>
                <w:sz w:val="24"/>
                <w:szCs w:val="24"/>
              </w:rPr>
              <w:t xml:space="preserve"> tar vi bara upp linjär regression. Det kan behöva kompletteras med andra typer av regression, </w:t>
            </w:r>
            <w:r w:rsidR="00316AD1">
              <w:rPr>
                <w:rFonts w:ascii="Times New Roman" w:hAnsi="Times New Roman" w:cs="Times New Roman"/>
                <w:sz w:val="24"/>
                <w:szCs w:val="24"/>
              </w:rPr>
              <w:t xml:space="preserve">till exempel </w:t>
            </w:r>
            <w:r w:rsidR="00182D3A">
              <w:rPr>
                <w:rFonts w:ascii="Times New Roman" w:hAnsi="Times New Roman" w:cs="Times New Roman"/>
                <w:sz w:val="24"/>
                <w:szCs w:val="24"/>
              </w:rPr>
              <w:t>uppgifter där eleverna får</w:t>
            </w:r>
            <w:r w:rsidR="00316AD1">
              <w:rPr>
                <w:rFonts w:ascii="Times New Roman" w:hAnsi="Times New Roman" w:cs="Times New Roman"/>
                <w:sz w:val="24"/>
                <w:szCs w:val="24"/>
              </w:rPr>
              <w:t xml:space="preserve"> anpassa data till en andragrads- eller exponentialfunktion. Därtill ska undervisningen behandla begreppet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korrelationskoefficient. </w:t>
            </w:r>
          </w:p>
        </w:tc>
      </w:tr>
      <w:tr w:rsidR="00174191" w:rsidRPr="00577F22" w14:paraId="2BE225CF" w14:textId="77777777" w:rsidTr="00174191">
        <w:tc>
          <w:tcPr>
            <w:tcW w:w="3114" w:type="dxa"/>
            <w:shd w:val="clear" w:color="auto" w:fill="C5E0B3" w:themeFill="accent6" w:themeFillTint="66"/>
          </w:tcPr>
          <w:p w14:paraId="23CC9187" w14:textId="77777777" w:rsidR="00174191" w:rsidRPr="00577F22" w:rsidRDefault="00174191" w:rsidP="00350E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Programmering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79F7A0D6" w14:textId="77777777" w:rsidR="00174191" w:rsidRPr="00577F22" w:rsidRDefault="00174191" w:rsidP="00350E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191" w:rsidRPr="00101500" w14:paraId="2EDB79C5" w14:textId="77777777" w:rsidTr="00174191">
        <w:tc>
          <w:tcPr>
            <w:tcW w:w="3114" w:type="dxa"/>
          </w:tcPr>
          <w:p w14:paraId="1DD1379D" w14:textId="77777777" w:rsidR="00174191" w:rsidRDefault="00174191" w:rsidP="00350E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Samtliga kapitel</w:t>
            </w:r>
          </w:p>
        </w:tc>
        <w:tc>
          <w:tcPr>
            <w:tcW w:w="6520" w:type="dxa"/>
          </w:tcPr>
          <w:p w14:paraId="7E4F4B76" w14:textId="77777777" w:rsidR="00174191" w:rsidRDefault="00174191" w:rsidP="00350E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Enligt den nya ämnesplanen ska eleverna få se exempel på hur programmering kan användas som verktyg vid bland annat problemlösning. På Sanoma Utbildnings hemsida finns nedladdningsbara programmeringsaktiviteter att använda i detta syfte. Det finns också matriser som visar vilka uppgifter i boken som lämpar sig att lösa med hjälp av programmering.</w:t>
            </w:r>
          </w:p>
          <w:p w14:paraId="430EEE5F" w14:textId="77777777" w:rsidR="00174191" w:rsidRPr="00101500" w:rsidRDefault="00174191" w:rsidP="00350E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53BB9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https://www.sanomautbildning.se/sv/produkter/matematik-origo-for-spar-c-S3174068/nedladdningsbart-material/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191" w:rsidRPr="004B29D0" w14:paraId="128BEF00" w14:textId="77777777" w:rsidTr="00174191">
        <w:tc>
          <w:tcPr>
            <w:tcW w:w="3114" w:type="dxa"/>
            <w:shd w:val="clear" w:color="auto" w:fill="C5E0B3" w:themeFill="accent6" w:themeFillTint="66"/>
          </w:tcPr>
          <w:p w14:paraId="40C74992" w14:textId="77777777" w:rsidR="00174191" w:rsidRPr="004B29D0" w:rsidRDefault="00174191" w:rsidP="00350E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Geogebraexempel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385E3E61" w14:textId="77777777" w:rsidR="00174191" w:rsidRPr="004B29D0" w:rsidRDefault="00174191" w:rsidP="00350E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91" w:rsidRPr="004B29D0" w14:paraId="27771A2E" w14:textId="77777777" w:rsidTr="00174191">
        <w:tc>
          <w:tcPr>
            <w:tcW w:w="3114" w:type="dxa"/>
          </w:tcPr>
          <w:p w14:paraId="1D5C8BB9" w14:textId="77777777" w:rsidR="00174191" w:rsidRPr="004B29D0" w:rsidRDefault="00174191" w:rsidP="00350E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Samtliga kapitel</w:t>
            </w:r>
          </w:p>
        </w:tc>
        <w:tc>
          <w:tcPr>
            <w:tcW w:w="6520" w:type="dxa"/>
          </w:tcPr>
          <w:p w14:paraId="0268FEF2" w14:textId="77777777" w:rsidR="00174191" w:rsidRDefault="00174191" w:rsidP="00350E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andra upplagan använder vi miniräknare (TI84) för att visa hur man löser uppgifter som kräver digitala verktyg. I den nya upplagan använder vi i stället GeoGebra. På Sanoma Utbildnings hemsida finns andra upplagans exempel lösta med hjälp av Geogebra:</w:t>
            </w:r>
          </w:p>
          <w:p w14:paraId="11092903" w14:textId="77777777" w:rsidR="00174191" w:rsidRPr="004B29D0" w:rsidRDefault="00174191" w:rsidP="00350E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53BB9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https://www.sanomautbildning.se/sv/produkter/matematik-origo-for-spar-c-S3174068/nedladdningsbart-material/</w:t>
              </w:r>
            </w:hyperlink>
          </w:p>
        </w:tc>
      </w:tr>
    </w:tbl>
    <w:p w14:paraId="5BDEE57C" w14:textId="77777777" w:rsidR="00597CC4" w:rsidRDefault="00597CC4" w:rsidP="00597CC4"/>
    <w:p w14:paraId="02A65F48" w14:textId="77777777" w:rsidR="00D35E3A" w:rsidRDefault="00D35E3A"/>
    <w:sectPr w:rsidR="00D3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235B" w14:textId="77777777" w:rsidR="00DC3543" w:rsidRDefault="00DC3543" w:rsidP="00F65F76">
      <w:pPr>
        <w:spacing w:after="0" w:line="240" w:lineRule="auto"/>
      </w:pPr>
      <w:r>
        <w:separator/>
      </w:r>
    </w:p>
  </w:endnote>
  <w:endnote w:type="continuationSeparator" w:id="0">
    <w:p w14:paraId="36F34E90" w14:textId="77777777" w:rsidR="00DC3543" w:rsidRDefault="00DC3543" w:rsidP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26F90" w14:textId="77777777" w:rsidR="00DC3543" w:rsidRDefault="00DC3543" w:rsidP="00F65F76">
      <w:pPr>
        <w:spacing w:after="0" w:line="240" w:lineRule="auto"/>
      </w:pPr>
      <w:r>
        <w:separator/>
      </w:r>
    </w:p>
  </w:footnote>
  <w:footnote w:type="continuationSeparator" w:id="0">
    <w:p w14:paraId="0C9BD21C" w14:textId="77777777" w:rsidR="00DC3543" w:rsidRDefault="00DC3543" w:rsidP="00F65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E"/>
    <w:rsid w:val="000A4777"/>
    <w:rsid w:val="000A7436"/>
    <w:rsid w:val="000B1842"/>
    <w:rsid w:val="000B33F5"/>
    <w:rsid w:val="001000CC"/>
    <w:rsid w:val="00101500"/>
    <w:rsid w:val="001141C0"/>
    <w:rsid w:val="00124C6D"/>
    <w:rsid w:val="00156706"/>
    <w:rsid w:val="00160DDB"/>
    <w:rsid w:val="0016417E"/>
    <w:rsid w:val="00174191"/>
    <w:rsid w:val="00176124"/>
    <w:rsid w:val="00182D3A"/>
    <w:rsid w:val="001B1BA3"/>
    <w:rsid w:val="001C3049"/>
    <w:rsid w:val="001F7368"/>
    <w:rsid w:val="00201EB7"/>
    <w:rsid w:val="00265802"/>
    <w:rsid w:val="002760A7"/>
    <w:rsid w:val="00282D36"/>
    <w:rsid w:val="002A36B6"/>
    <w:rsid w:val="002C5D57"/>
    <w:rsid w:val="00301D57"/>
    <w:rsid w:val="00316AD1"/>
    <w:rsid w:val="003273E7"/>
    <w:rsid w:val="0034640F"/>
    <w:rsid w:val="0036435C"/>
    <w:rsid w:val="00370ED3"/>
    <w:rsid w:val="00373FA6"/>
    <w:rsid w:val="003778DC"/>
    <w:rsid w:val="00381909"/>
    <w:rsid w:val="003860B6"/>
    <w:rsid w:val="003A2C07"/>
    <w:rsid w:val="003A3512"/>
    <w:rsid w:val="003A368F"/>
    <w:rsid w:val="003C1753"/>
    <w:rsid w:val="003C2105"/>
    <w:rsid w:val="003C34B2"/>
    <w:rsid w:val="003C54E3"/>
    <w:rsid w:val="003C5E67"/>
    <w:rsid w:val="003E479A"/>
    <w:rsid w:val="0040574A"/>
    <w:rsid w:val="00416ED7"/>
    <w:rsid w:val="00417CAD"/>
    <w:rsid w:val="004403C5"/>
    <w:rsid w:val="00443E51"/>
    <w:rsid w:val="00455734"/>
    <w:rsid w:val="004602A8"/>
    <w:rsid w:val="00476ED4"/>
    <w:rsid w:val="00494092"/>
    <w:rsid w:val="004A264C"/>
    <w:rsid w:val="004B29D0"/>
    <w:rsid w:val="004B70AA"/>
    <w:rsid w:val="004D034E"/>
    <w:rsid w:val="004E119A"/>
    <w:rsid w:val="004F410D"/>
    <w:rsid w:val="00524AB4"/>
    <w:rsid w:val="00533401"/>
    <w:rsid w:val="00533F5E"/>
    <w:rsid w:val="00573724"/>
    <w:rsid w:val="00574B36"/>
    <w:rsid w:val="00574DA1"/>
    <w:rsid w:val="00585127"/>
    <w:rsid w:val="00597CC4"/>
    <w:rsid w:val="005C3CD0"/>
    <w:rsid w:val="005F0723"/>
    <w:rsid w:val="005F5ABD"/>
    <w:rsid w:val="00611B98"/>
    <w:rsid w:val="006303CC"/>
    <w:rsid w:val="006469D7"/>
    <w:rsid w:val="00654557"/>
    <w:rsid w:val="00654AA9"/>
    <w:rsid w:val="00674ED7"/>
    <w:rsid w:val="00691338"/>
    <w:rsid w:val="006A0078"/>
    <w:rsid w:val="006C487A"/>
    <w:rsid w:val="006D463D"/>
    <w:rsid w:val="006F5BD7"/>
    <w:rsid w:val="00710373"/>
    <w:rsid w:val="00721E2F"/>
    <w:rsid w:val="007230AB"/>
    <w:rsid w:val="00740841"/>
    <w:rsid w:val="0074726F"/>
    <w:rsid w:val="007637BB"/>
    <w:rsid w:val="00770B88"/>
    <w:rsid w:val="007746B7"/>
    <w:rsid w:val="0078735F"/>
    <w:rsid w:val="007923EC"/>
    <w:rsid w:val="007963E8"/>
    <w:rsid w:val="00797B3E"/>
    <w:rsid w:val="007A794C"/>
    <w:rsid w:val="007D6FEE"/>
    <w:rsid w:val="007F4043"/>
    <w:rsid w:val="007F52BB"/>
    <w:rsid w:val="00813553"/>
    <w:rsid w:val="00832D0B"/>
    <w:rsid w:val="008530B9"/>
    <w:rsid w:val="008838E5"/>
    <w:rsid w:val="00893AF4"/>
    <w:rsid w:val="008A06EF"/>
    <w:rsid w:val="008D5DAD"/>
    <w:rsid w:val="00910663"/>
    <w:rsid w:val="00940FBF"/>
    <w:rsid w:val="0094386E"/>
    <w:rsid w:val="00955B78"/>
    <w:rsid w:val="00984F44"/>
    <w:rsid w:val="009C004E"/>
    <w:rsid w:val="009C3CFE"/>
    <w:rsid w:val="009C3F3C"/>
    <w:rsid w:val="009C5132"/>
    <w:rsid w:val="009D685C"/>
    <w:rsid w:val="009D752F"/>
    <w:rsid w:val="009F2BBB"/>
    <w:rsid w:val="00A03C0C"/>
    <w:rsid w:val="00A14CCB"/>
    <w:rsid w:val="00A27B87"/>
    <w:rsid w:val="00A34529"/>
    <w:rsid w:val="00A363E7"/>
    <w:rsid w:val="00A36FE0"/>
    <w:rsid w:val="00A54909"/>
    <w:rsid w:val="00A74BED"/>
    <w:rsid w:val="00A82125"/>
    <w:rsid w:val="00AB04BD"/>
    <w:rsid w:val="00AB2E2C"/>
    <w:rsid w:val="00AC51BF"/>
    <w:rsid w:val="00AE305B"/>
    <w:rsid w:val="00AE5314"/>
    <w:rsid w:val="00AF650D"/>
    <w:rsid w:val="00B01315"/>
    <w:rsid w:val="00B0335E"/>
    <w:rsid w:val="00B13E84"/>
    <w:rsid w:val="00B246A3"/>
    <w:rsid w:val="00B62B10"/>
    <w:rsid w:val="00B9255A"/>
    <w:rsid w:val="00B9358D"/>
    <w:rsid w:val="00BA35FB"/>
    <w:rsid w:val="00BB6D63"/>
    <w:rsid w:val="00BE2D05"/>
    <w:rsid w:val="00BE39C7"/>
    <w:rsid w:val="00BF33D4"/>
    <w:rsid w:val="00C05363"/>
    <w:rsid w:val="00C13DE6"/>
    <w:rsid w:val="00C2794D"/>
    <w:rsid w:val="00C40C37"/>
    <w:rsid w:val="00C522C3"/>
    <w:rsid w:val="00C53F96"/>
    <w:rsid w:val="00C73401"/>
    <w:rsid w:val="00C8502D"/>
    <w:rsid w:val="00CB745F"/>
    <w:rsid w:val="00CE316B"/>
    <w:rsid w:val="00D204D3"/>
    <w:rsid w:val="00D35E3A"/>
    <w:rsid w:val="00D41710"/>
    <w:rsid w:val="00D41FEB"/>
    <w:rsid w:val="00D54C97"/>
    <w:rsid w:val="00D86FF5"/>
    <w:rsid w:val="00D94658"/>
    <w:rsid w:val="00D97868"/>
    <w:rsid w:val="00D97BEC"/>
    <w:rsid w:val="00DA7CCD"/>
    <w:rsid w:val="00DC3543"/>
    <w:rsid w:val="00DC78D9"/>
    <w:rsid w:val="00E32EC4"/>
    <w:rsid w:val="00E37968"/>
    <w:rsid w:val="00E530D2"/>
    <w:rsid w:val="00E81BDD"/>
    <w:rsid w:val="00E87C5E"/>
    <w:rsid w:val="00E92D0D"/>
    <w:rsid w:val="00E94DCD"/>
    <w:rsid w:val="00EA0E28"/>
    <w:rsid w:val="00EB6F85"/>
    <w:rsid w:val="00EE6704"/>
    <w:rsid w:val="00EF433D"/>
    <w:rsid w:val="00EF447E"/>
    <w:rsid w:val="00F21FEB"/>
    <w:rsid w:val="00F261A5"/>
    <w:rsid w:val="00F36BAF"/>
    <w:rsid w:val="00F65F76"/>
    <w:rsid w:val="00F6626D"/>
    <w:rsid w:val="00F75E2B"/>
    <w:rsid w:val="00FB0E6C"/>
    <w:rsid w:val="00FB6DC7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676F66"/>
  <w15:chartTrackingRefBased/>
  <w15:docId w15:val="{FA96D69E-D114-4E49-BC70-0DF4B69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3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637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37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37B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37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37BB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597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nomautbildning.se/sv/produkter/matematik-origo-for-spar-c-S3174068/nedladdningsbart-materi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omautbildning.se/sv/produkter/matematik-origo-for-spar-c-S3174068/nedladdningsbart-materi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Emelie Reuterswärd</cp:lastModifiedBy>
  <cp:revision>54</cp:revision>
  <dcterms:created xsi:type="dcterms:W3CDTF">2021-06-29T05:51:00Z</dcterms:created>
  <dcterms:modified xsi:type="dcterms:W3CDTF">2021-07-15T09:48:00Z</dcterms:modified>
</cp:coreProperties>
</file>