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D03B9" w14:textId="4A650FE9" w:rsidR="000B731F" w:rsidRPr="00B246A3" w:rsidRDefault="00E94DCD">
      <w:pPr>
        <w:rPr>
          <w:rFonts w:ascii="Times New Roman" w:hAnsi="Times New Roman" w:cs="Times New Roman"/>
          <w:sz w:val="36"/>
          <w:szCs w:val="36"/>
        </w:rPr>
      </w:pPr>
      <w:r w:rsidRPr="00B246A3">
        <w:rPr>
          <w:rFonts w:ascii="Times New Roman" w:hAnsi="Times New Roman" w:cs="Times New Roman"/>
          <w:sz w:val="36"/>
          <w:szCs w:val="36"/>
        </w:rPr>
        <w:t>Matematik Origo 1</w:t>
      </w:r>
      <w:r w:rsidR="002B269D">
        <w:rPr>
          <w:rFonts w:ascii="Times New Roman" w:hAnsi="Times New Roman" w:cs="Times New Roman"/>
          <w:sz w:val="36"/>
          <w:szCs w:val="36"/>
        </w:rPr>
        <w:t>a</w:t>
      </w:r>
      <w:r w:rsidRPr="00B246A3">
        <w:rPr>
          <w:rFonts w:ascii="Times New Roman" w:hAnsi="Times New Roman" w:cs="Times New Roman"/>
          <w:sz w:val="36"/>
          <w:szCs w:val="36"/>
        </w:rPr>
        <w:t xml:space="preserve"> Upplaga </w:t>
      </w:r>
      <w:r w:rsidR="002B269D">
        <w:rPr>
          <w:rFonts w:ascii="Times New Roman" w:hAnsi="Times New Roman" w:cs="Times New Roman"/>
          <w:sz w:val="36"/>
          <w:szCs w:val="36"/>
        </w:rPr>
        <w:t>1</w:t>
      </w:r>
      <w:r w:rsidR="00B246A3" w:rsidRPr="00B246A3">
        <w:rPr>
          <w:rFonts w:ascii="Times New Roman" w:hAnsi="Times New Roman" w:cs="Times New Roman"/>
          <w:sz w:val="36"/>
          <w:szCs w:val="36"/>
        </w:rPr>
        <w:t xml:space="preserve"> och den nya ämnesplanen</w:t>
      </w:r>
    </w:p>
    <w:p w14:paraId="664C976A" w14:textId="3285BB50" w:rsidR="00E94DCD" w:rsidRPr="00A14CCB" w:rsidRDefault="00B246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tabellen här nedanför</w:t>
      </w:r>
      <w:r w:rsidR="00E94DCD" w:rsidRPr="00A14CCB">
        <w:rPr>
          <w:rFonts w:ascii="Times New Roman" w:hAnsi="Times New Roman" w:cs="Times New Roman"/>
        </w:rPr>
        <w:t xml:space="preserve"> beskriver vi hur Matematik Origo 1</w:t>
      </w:r>
      <w:r w:rsidR="002B269D">
        <w:rPr>
          <w:rFonts w:ascii="Times New Roman" w:hAnsi="Times New Roman" w:cs="Times New Roman"/>
        </w:rPr>
        <w:t>a</w:t>
      </w:r>
      <w:r w:rsidR="00E94DCD" w:rsidRPr="00A14CCB">
        <w:rPr>
          <w:rFonts w:ascii="Times New Roman" w:hAnsi="Times New Roman" w:cs="Times New Roman"/>
        </w:rPr>
        <w:t xml:space="preserve"> upplaga </w:t>
      </w:r>
      <w:r w:rsidR="0065092A">
        <w:rPr>
          <w:rFonts w:ascii="Times New Roman" w:hAnsi="Times New Roman" w:cs="Times New Roman"/>
        </w:rPr>
        <w:t>1</w:t>
      </w:r>
      <w:r w:rsidR="00E94DCD" w:rsidRPr="00A14CCB">
        <w:rPr>
          <w:rFonts w:ascii="Times New Roman" w:hAnsi="Times New Roman" w:cs="Times New Roman"/>
        </w:rPr>
        <w:t xml:space="preserve"> skiljer sig från den nya ämnesplanen och hur man kan använda övriga </w:t>
      </w:r>
      <w:r w:rsidR="00DB58D9">
        <w:rPr>
          <w:rFonts w:ascii="Times New Roman" w:hAnsi="Times New Roman" w:cs="Times New Roman"/>
        </w:rPr>
        <w:t>Matematik Origo 2a, upplaga 1,</w:t>
      </w:r>
      <w:r w:rsidR="00E94DCD" w:rsidRPr="00A14CCB">
        <w:rPr>
          <w:rFonts w:ascii="Times New Roman" w:hAnsi="Times New Roman" w:cs="Times New Roman"/>
        </w:rPr>
        <w:t xml:space="preserve"> </w:t>
      </w:r>
      <w:r w:rsidR="00EE6704">
        <w:rPr>
          <w:rFonts w:ascii="Times New Roman" w:hAnsi="Times New Roman" w:cs="Times New Roman"/>
        </w:rPr>
        <w:t>som komplement</w:t>
      </w:r>
      <w:r w:rsidR="00D35E3A" w:rsidRPr="00A14CCB">
        <w:rPr>
          <w:rFonts w:ascii="Times New Roman" w:hAnsi="Times New Roman" w:cs="Times New Roman"/>
        </w:rPr>
        <w:t>.</w:t>
      </w:r>
    </w:p>
    <w:p w14:paraId="66BB1878" w14:textId="77777777" w:rsidR="00D95126" w:rsidRPr="00480EFA" w:rsidRDefault="00D95126" w:rsidP="00D95126">
      <w:pPr>
        <w:pStyle w:val="Rubrik2"/>
        <w:rPr>
          <w:color w:val="2E74B5" w:themeColor="accent5" w:themeShade="BF"/>
        </w:rPr>
      </w:pPr>
      <w:r w:rsidRPr="00480EFA">
        <w:rPr>
          <w:color w:val="2E74B5" w:themeColor="accent5" w:themeShade="BF"/>
        </w:rPr>
        <w:t>Matematik Origo 1a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3004"/>
        <w:gridCol w:w="6063"/>
      </w:tblGrid>
      <w:tr w:rsidR="00DB58D9" w14:paraId="07DB0238" w14:textId="77777777" w:rsidTr="00EC7AC7">
        <w:trPr>
          <w:trHeight w:val="283"/>
        </w:trPr>
        <w:tc>
          <w:tcPr>
            <w:tcW w:w="9067" w:type="dxa"/>
            <w:gridSpan w:val="2"/>
            <w:shd w:val="clear" w:color="auto" w:fill="9CC2E5" w:themeFill="accent5" w:themeFillTint="99"/>
          </w:tcPr>
          <w:p w14:paraId="3F9D12AC" w14:textId="4E0F8C35" w:rsidR="00DB58D9" w:rsidRPr="00B44492" w:rsidRDefault="00DB58D9" w:rsidP="007B303D">
            <w:pPr>
              <w:rPr>
                <w:b/>
              </w:rPr>
            </w:pPr>
            <w:r w:rsidRPr="00B44492">
              <w:rPr>
                <w:b/>
              </w:rPr>
              <w:t>Kapitel 1</w:t>
            </w:r>
            <w:r>
              <w:rPr>
                <w:b/>
              </w:rPr>
              <w:t xml:space="preserve"> – Matematik i vardag och yrkesliv</w:t>
            </w:r>
          </w:p>
        </w:tc>
      </w:tr>
      <w:tr w:rsidR="006C76D8" w14:paraId="225F8CC7" w14:textId="77777777" w:rsidTr="00DB58D9">
        <w:trPr>
          <w:trHeight w:val="437"/>
        </w:trPr>
        <w:tc>
          <w:tcPr>
            <w:tcW w:w="9067" w:type="dxa"/>
            <w:gridSpan w:val="2"/>
          </w:tcPr>
          <w:p w14:paraId="6E044792" w14:textId="69FFFABD" w:rsidR="006C76D8" w:rsidRDefault="006C76D8" w:rsidP="007B303D">
            <w:r>
              <w:t>Innehållet i kapitlet är en del av det centrala innehållet.</w:t>
            </w:r>
          </w:p>
        </w:tc>
      </w:tr>
      <w:tr w:rsidR="00C80C14" w14:paraId="3C737804" w14:textId="77777777" w:rsidTr="00DB58D9">
        <w:trPr>
          <w:trHeight w:val="274"/>
        </w:trPr>
        <w:tc>
          <w:tcPr>
            <w:tcW w:w="9067" w:type="dxa"/>
            <w:gridSpan w:val="2"/>
            <w:shd w:val="clear" w:color="auto" w:fill="9CC2E5" w:themeFill="accent5" w:themeFillTint="99"/>
          </w:tcPr>
          <w:p w14:paraId="3E040CFF" w14:textId="0AB89977" w:rsidR="00C80C14" w:rsidRDefault="00C80C14" w:rsidP="007B303D">
            <w:r w:rsidRPr="00C80C14">
              <w:rPr>
                <w:b/>
                <w:bCs/>
              </w:rPr>
              <w:t xml:space="preserve">Kapitel 2 – </w:t>
            </w:r>
            <w:r w:rsidR="006C76D8">
              <w:rPr>
                <w:b/>
                <w:bCs/>
              </w:rPr>
              <w:t>Tal</w:t>
            </w:r>
          </w:p>
        </w:tc>
      </w:tr>
      <w:tr w:rsidR="006C76D8" w14:paraId="519AA8CD" w14:textId="77777777" w:rsidTr="00A03544">
        <w:trPr>
          <w:trHeight w:val="283"/>
        </w:trPr>
        <w:tc>
          <w:tcPr>
            <w:tcW w:w="9067" w:type="dxa"/>
            <w:gridSpan w:val="2"/>
          </w:tcPr>
          <w:p w14:paraId="0389EF59" w14:textId="77777777" w:rsidR="000411C2" w:rsidRDefault="006C76D8" w:rsidP="00B96359">
            <w:pPr>
              <w:autoSpaceDE w:val="0"/>
              <w:autoSpaceDN w:val="0"/>
              <w:adjustRightInd w:val="0"/>
            </w:pPr>
            <w:r>
              <w:t>Innehållet i kapitlet är inte längre en del av d</w:t>
            </w:r>
            <w:r w:rsidR="004D541D">
              <w:t xml:space="preserve">et programgemensamma centrala innehållet, men flera av momenten </w:t>
            </w:r>
            <w:r w:rsidR="00B96359">
              <w:t>passar</w:t>
            </w:r>
            <w:r w:rsidR="004D541D">
              <w:t xml:space="preserve"> in under </w:t>
            </w:r>
            <w:r w:rsidR="000411C2">
              <w:t xml:space="preserve">följande </w:t>
            </w:r>
            <w:r w:rsidR="004D541D">
              <w:t>formuleringar</w:t>
            </w:r>
            <w:r w:rsidR="000411C2">
              <w:t xml:space="preserve"> i ämnesplanen</w:t>
            </w:r>
            <w:r w:rsidR="00B96359">
              <w:t xml:space="preserve">: </w:t>
            </w:r>
          </w:p>
          <w:p w14:paraId="464803A9" w14:textId="4BC75EC3" w:rsidR="000411C2" w:rsidRDefault="000411C2" w:rsidP="000411C2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>
              <w:t>M</w:t>
            </w:r>
            <w:r w:rsidR="00A87E29" w:rsidRPr="00B96359">
              <w:t>atematiska begrepp som är relevanta för karaktärsämnen och yrkesliv</w:t>
            </w:r>
            <w:r>
              <w:t>.</w:t>
            </w:r>
          </w:p>
          <w:p w14:paraId="5C5A14A9" w14:textId="7F074828" w:rsidR="000411C2" w:rsidRDefault="00A87E29" w:rsidP="000411C2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B96359">
              <w:t>Beräkningsmetoder som är relevanta för karaktärsämnen och yrkesliv</w:t>
            </w:r>
            <w:r w:rsidR="000411C2">
              <w:t>.</w:t>
            </w:r>
          </w:p>
          <w:p w14:paraId="159534A4" w14:textId="7369A192" w:rsidR="000411C2" w:rsidRDefault="00B96359" w:rsidP="000411C2">
            <w:pPr>
              <w:pStyle w:val="Liststycke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B96359">
              <w:t>Mätning och hantering av storheter och enheter som är relevanta för karaktärsämnen</w:t>
            </w:r>
            <w:r>
              <w:t xml:space="preserve"> </w:t>
            </w:r>
            <w:r w:rsidRPr="00B96359">
              <w:t>och yrkesliv</w:t>
            </w:r>
            <w:r w:rsidR="000411C2">
              <w:t>.</w:t>
            </w:r>
          </w:p>
          <w:p w14:paraId="76E5501C" w14:textId="45AA5A1C" w:rsidR="006C76D8" w:rsidRPr="0038387B" w:rsidRDefault="005525A2" w:rsidP="00B963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I den nya upplagan av Matematik Origo 1a har vi valt att behandla </w:t>
            </w:r>
            <w:r w:rsidR="000411C2">
              <w:t>t</w:t>
            </w:r>
            <w:r>
              <w:t>al i decimalform, avrundning, överslagsräkning</w:t>
            </w:r>
            <w:r w:rsidR="000411C2">
              <w:t xml:space="preserve">, </w:t>
            </w:r>
            <w:r>
              <w:t xml:space="preserve">uppskattning, </w:t>
            </w:r>
            <w:r w:rsidR="000411C2">
              <w:t>tal i bråkform, förhållande samt potenser och prefix.</w:t>
            </w:r>
          </w:p>
        </w:tc>
      </w:tr>
      <w:tr w:rsidR="00CF046E" w14:paraId="26A1AEFE" w14:textId="77777777" w:rsidTr="00CF046E">
        <w:trPr>
          <w:trHeight w:val="283"/>
        </w:trPr>
        <w:tc>
          <w:tcPr>
            <w:tcW w:w="9067" w:type="dxa"/>
            <w:gridSpan w:val="2"/>
            <w:shd w:val="clear" w:color="auto" w:fill="9CC2E5" w:themeFill="accent5" w:themeFillTint="99"/>
          </w:tcPr>
          <w:p w14:paraId="3974FEED" w14:textId="534D7B0C" w:rsidR="00CF046E" w:rsidRPr="00CD43A9" w:rsidRDefault="00CF046E" w:rsidP="007B303D">
            <w:pPr>
              <w:rPr>
                <w:b/>
                <w:bCs/>
              </w:rPr>
            </w:pPr>
            <w:r w:rsidRPr="00CD43A9">
              <w:rPr>
                <w:b/>
                <w:bCs/>
              </w:rPr>
              <w:t xml:space="preserve">Kapitel 3 – Algebra </w:t>
            </w:r>
          </w:p>
        </w:tc>
      </w:tr>
      <w:tr w:rsidR="004C210D" w14:paraId="010B17A5" w14:textId="77777777" w:rsidTr="008D3D10">
        <w:trPr>
          <w:trHeight w:val="283"/>
        </w:trPr>
        <w:tc>
          <w:tcPr>
            <w:tcW w:w="9067" w:type="dxa"/>
            <w:gridSpan w:val="2"/>
          </w:tcPr>
          <w:p w14:paraId="20D6DAD0" w14:textId="77777777" w:rsidR="004C210D" w:rsidRDefault="004C210D" w:rsidP="007B303D">
            <w:r>
              <w:t>Innehållet i kapitlet ansluter fortfarande väl till det centrala innehållet, men man behöver komplettera undervisningen med multiplikation av uttryck inom parenteser samt faktorisering.</w:t>
            </w:r>
          </w:p>
          <w:p w14:paraId="33E3BA87" w14:textId="7F5356D1" w:rsidR="004C210D" w:rsidRDefault="00CD43A9" w:rsidP="007B303D">
            <w:r>
              <w:t>Sådana avsnitt</w:t>
            </w:r>
            <w:r w:rsidR="004C210D">
              <w:t xml:space="preserve"> finns i första upplagan av Matematik Origo 2a, </w:t>
            </w:r>
            <w:r w:rsidR="008862BC">
              <w:t xml:space="preserve">delkapitel </w:t>
            </w:r>
            <w:r>
              <w:t>1.2.</w:t>
            </w:r>
          </w:p>
        </w:tc>
      </w:tr>
      <w:tr w:rsidR="00CD43A9" w14:paraId="27781EF5" w14:textId="77777777" w:rsidTr="00CD43A9">
        <w:trPr>
          <w:trHeight w:val="283"/>
        </w:trPr>
        <w:tc>
          <w:tcPr>
            <w:tcW w:w="9067" w:type="dxa"/>
            <w:gridSpan w:val="2"/>
            <w:shd w:val="clear" w:color="auto" w:fill="9CC2E5" w:themeFill="accent5" w:themeFillTint="99"/>
          </w:tcPr>
          <w:p w14:paraId="78CA37FB" w14:textId="59DFB0B4" w:rsidR="00CD43A9" w:rsidRPr="00EE611F" w:rsidRDefault="00CD43A9" w:rsidP="007B303D">
            <w:pPr>
              <w:rPr>
                <w:b/>
                <w:bCs/>
              </w:rPr>
            </w:pPr>
            <w:r w:rsidRPr="00EE611F">
              <w:rPr>
                <w:b/>
                <w:bCs/>
              </w:rPr>
              <w:t>Kapitel 4 - Procent</w:t>
            </w:r>
          </w:p>
        </w:tc>
      </w:tr>
      <w:tr w:rsidR="00D95126" w14:paraId="02BC5D19" w14:textId="77777777" w:rsidTr="00D95126">
        <w:trPr>
          <w:trHeight w:val="283"/>
        </w:trPr>
        <w:tc>
          <w:tcPr>
            <w:tcW w:w="3004" w:type="dxa"/>
          </w:tcPr>
          <w:p w14:paraId="464859B2" w14:textId="2E0D02EF" w:rsidR="00D95126" w:rsidRDefault="00EE611F" w:rsidP="007B303D">
            <w:r>
              <w:t>4.1 Procent och procentberäkningar</w:t>
            </w:r>
          </w:p>
        </w:tc>
        <w:tc>
          <w:tcPr>
            <w:tcW w:w="6063" w:type="dxa"/>
          </w:tcPr>
          <w:p w14:paraId="60A5EBF3" w14:textId="51630A3D" w:rsidR="00C3630D" w:rsidRDefault="00C85BDA" w:rsidP="00C63FFC">
            <w:r>
              <w:t>Att arbeta med grundläggande procentberäkningar som delen, andele</w:t>
            </w:r>
            <w:r w:rsidR="00C3630D">
              <w:t>n o</w:t>
            </w:r>
            <w:r>
              <w:t>ch det hela</w:t>
            </w:r>
            <w:r w:rsidR="00C63FFC">
              <w:t>,</w:t>
            </w:r>
            <w:r>
              <w:t xml:space="preserve"> </w:t>
            </w:r>
            <w:r w:rsidR="00C3630D">
              <w:t xml:space="preserve">samt promille och ppm, </w:t>
            </w:r>
            <w:r>
              <w:t>är inte längre programgemensamt centralt innehåll</w:t>
            </w:r>
            <w:r w:rsidR="00C63FFC">
              <w:t>. D</w:t>
            </w:r>
            <w:r>
              <w:t xml:space="preserve">essa avsnitt </w:t>
            </w:r>
            <w:r w:rsidR="0017707C">
              <w:t xml:space="preserve">kan </w:t>
            </w:r>
            <w:r w:rsidR="00181D17">
              <w:t>behandlas</w:t>
            </w:r>
            <w:r>
              <w:t xml:space="preserve"> inom ramen för yrkesmatematiken eller som repetition.</w:t>
            </w:r>
          </w:p>
        </w:tc>
      </w:tr>
      <w:tr w:rsidR="00D95126" w14:paraId="6453A392" w14:textId="77777777" w:rsidTr="00D95126">
        <w:trPr>
          <w:trHeight w:val="283"/>
        </w:trPr>
        <w:tc>
          <w:tcPr>
            <w:tcW w:w="3004" w:type="dxa"/>
          </w:tcPr>
          <w:p w14:paraId="0F4C4693" w14:textId="77777777" w:rsidR="00D95126" w:rsidRDefault="00D95126" w:rsidP="007B303D">
            <w:r>
              <w:t>4.2 Procentuella förändringar</w:t>
            </w:r>
          </w:p>
        </w:tc>
        <w:tc>
          <w:tcPr>
            <w:tcW w:w="6063" w:type="dxa"/>
          </w:tcPr>
          <w:p w14:paraId="7C3C3B9C" w14:textId="0A75C463" w:rsidR="00D95126" w:rsidRDefault="00C63FFC" w:rsidP="007B303D">
            <w:r>
              <w:t xml:space="preserve">Avsnittet </w:t>
            </w:r>
            <w:r w:rsidRPr="00C63FFC">
              <w:rPr>
                <w:i/>
                <w:iCs/>
              </w:rPr>
              <w:t>Procentenheter</w:t>
            </w:r>
            <w:r>
              <w:t xml:space="preserve"> är inte längre programgemensamt centralt innehåll, men kan behandlas inom ramen för yrkesmatematiken.</w:t>
            </w:r>
          </w:p>
        </w:tc>
      </w:tr>
      <w:tr w:rsidR="00D95126" w14:paraId="3233EC50" w14:textId="77777777" w:rsidTr="00D95126">
        <w:trPr>
          <w:trHeight w:val="283"/>
        </w:trPr>
        <w:tc>
          <w:tcPr>
            <w:tcW w:w="3004" w:type="dxa"/>
          </w:tcPr>
          <w:p w14:paraId="32DAF1DB" w14:textId="77777777" w:rsidR="00D95126" w:rsidRDefault="00D95126" w:rsidP="007B303D">
            <w:r>
              <w:t>4.3 Procentberäkningar i samhället</w:t>
            </w:r>
          </w:p>
        </w:tc>
        <w:tc>
          <w:tcPr>
            <w:tcW w:w="6063" w:type="dxa"/>
          </w:tcPr>
          <w:p w14:paraId="147D2B23" w14:textId="7F0C7A93" w:rsidR="00D95126" w:rsidRDefault="007D1111" w:rsidP="007B303D">
            <w:r>
              <w:t xml:space="preserve">Avsnittet </w:t>
            </w:r>
            <w:r>
              <w:rPr>
                <w:i/>
                <w:iCs/>
              </w:rPr>
              <w:t>Index och KPI</w:t>
            </w:r>
            <w:r>
              <w:t xml:space="preserve"> är inte längre programgemensamt centralt innehåll, men kan behandlas inom ramen för yrkesmatematiken.</w:t>
            </w:r>
          </w:p>
        </w:tc>
      </w:tr>
      <w:tr w:rsidR="00181D17" w14:paraId="5AEF43B7" w14:textId="77777777" w:rsidTr="00F40C02">
        <w:trPr>
          <w:trHeight w:val="283"/>
        </w:trPr>
        <w:tc>
          <w:tcPr>
            <w:tcW w:w="9067" w:type="dxa"/>
            <w:gridSpan w:val="2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EE72FE3" w14:textId="76F74AA8" w:rsidR="00181D17" w:rsidRPr="00B44492" w:rsidRDefault="00181D17" w:rsidP="007B303D">
            <w:pPr>
              <w:rPr>
                <w:b/>
              </w:rPr>
            </w:pPr>
            <w:r w:rsidRPr="00B44492">
              <w:rPr>
                <w:b/>
              </w:rPr>
              <w:t xml:space="preserve">Kapitel </w:t>
            </w:r>
            <w:r>
              <w:rPr>
                <w:b/>
              </w:rPr>
              <w:t xml:space="preserve">5 - </w:t>
            </w:r>
            <w:r>
              <w:rPr>
                <w:b/>
              </w:rPr>
              <w:t>Statistik</w:t>
            </w:r>
          </w:p>
        </w:tc>
      </w:tr>
      <w:tr w:rsidR="00AB0532" w14:paraId="5223727F" w14:textId="77777777" w:rsidTr="00D5560D">
        <w:trPr>
          <w:trHeight w:val="283"/>
        </w:trPr>
        <w:tc>
          <w:tcPr>
            <w:tcW w:w="9067" w:type="dxa"/>
            <w:gridSpan w:val="2"/>
            <w:tcBorders>
              <w:bottom w:val="single" w:sz="4" w:space="0" w:color="auto"/>
            </w:tcBorders>
          </w:tcPr>
          <w:p w14:paraId="7C73AD4F" w14:textId="27308F44" w:rsidR="00AC11F9" w:rsidRPr="00E7238F" w:rsidRDefault="00AB0532" w:rsidP="007B303D">
            <w:r>
              <w:t xml:space="preserve">Kapitlets innehåll stämmer inte längre väl överens med det centrala innehållet. </w:t>
            </w:r>
            <w:r w:rsidR="00AC11F9">
              <w:t xml:space="preserve">Avsnittet </w:t>
            </w:r>
            <w:r w:rsidR="00AC11F9" w:rsidRPr="00E7238F">
              <w:rPr>
                <w:i/>
                <w:iCs/>
              </w:rPr>
              <w:t>Tolka tabeller och diagram</w:t>
            </w:r>
            <w:r w:rsidR="00AC11F9">
              <w:t xml:space="preserve"> samt </w:t>
            </w:r>
            <w:r w:rsidR="00AC11F9" w:rsidRPr="00E7238F">
              <w:rPr>
                <w:i/>
                <w:iCs/>
              </w:rPr>
              <w:t>Statistiska felkällor och vilseledande diagram</w:t>
            </w:r>
            <w:r w:rsidR="00AC11F9">
              <w:t xml:space="preserve"> anknyter fortfarande implicit till det centrala innehållet, men undervisningen bör dessutom behandla</w:t>
            </w:r>
            <w:r w:rsidR="00F31FB8">
              <w:t xml:space="preserve"> statistiska begrepp som </w:t>
            </w:r>
            <w:r w:rsidR="00E7238F" w:rsidRPr="00E7238F">
              <w:t>signifikans, korrelation, kausalitet, urvalsmetoder och felkällor.</w:t>
            </w:r>
          </w:p>
        </w:tc>
      </w:tr>
      <w:tr w:rsidR="00E7238F" w14:paraId="28349C93" w14:textId="77777777" w:rsidTr="00E7238F">
        <w:trPr>
          <w:trHeight w:val="283"/>
        </w:trPr>
        <w:tc>
          <w:tcPr>
            <w:tcW w:w="9067" w:type="dxa"/>
            <w:gridSpan w:val="2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69567A0A" w14:textId="36FD8A71" w:rsidR="00E7238F" w:rsidRPr="00E7238F" w:rsidRDefault="00E7238F" w:rsidP="007B303D">
            <w:pPr>
              <w:rPr>
                <w:b/>
                <w:bCs/>
              </w:rPr>
            </w:pPr>
            <w:r w:rsidRPr="00E7238F">
              <w:rPr>
                <w:b/>
                <w:bCs/>
              </w:rPr>
              <w:t>Kapitel 6 - Sannolikhetslära</w:t>
            </w:r>
          </w:p>
        </w:tc>
      </w:tr>
      <w:tr w:rsidR="00E7238F" w14:paraId="1F5B71FD" w14:textId="77777777" w:rsidTr="00C5535F">
        <w:trPr>
          <w:trHeight w:val="283"/>
        </w:trPr>
        <w:tc>
          <w:tcPr>
            <w:tcW w:w="9067" w:type="dxa"/>
            <w:gridSpan w:val="2"/>
            <w:tcBorders>
              <w:bottom w:val="single" w:sz="4" w:space="0" w:color="auto"/>
            </w:tcBorders>
          </w:tcPr>
          <w:p w14:paraId="454124C6" w14:textId="64A6B7FE" w:rsidR="00E7238F" w:rsidRPr="00E7238F" w:rsidRDefault="00E7238F" w:rsidP="007B303D">
            <w:pPr>
              <w:rPr>
                <w:bCs/>
              </w:rPr>
            </w:pPr>
            <w:r>
              <w:rPr>
                <w:bCs/>
              </w:rPr>
              <w:t>Innehållet i kapitlet stämmer överens med det centrala innehållet.</w:t>
            </w:r>
          </w:p>
        </w:tc>
      </w:tr>
      <w:tr w:rsidR="00BA710A" w14:paraId="028A3343" w14:textId="77777777" w:rsidTr="00BA710A">
        <w:trPr>
          <w:trHeight w:val="283"/>
        </w:trPr>
        <w:tc>
          <w:tcPr>
            <w:tcW w:w="9067" w:type="dxa"/>
            <w:gridSpan w:val="2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7C6A21C8" w14:textId="2D224A8F" w:rsidR="00BA710A" w:rsidRPr="00400FA3" w:rsidRDefault="00BA710A" w:rsidP="007B303D">
            <w:pPr>
              <w:rPr>
                <w:b/>
                <w:bCs/>
              </w:rPr>
            </w:pPr>
            <w:r w:rsidRPr="00400FA3">
              <w:rPr>
                <w:b/>
                <w:bCs/>
              </w:rPr>
              <w:t>Kapitel 7 – Linjära och exponentiella samband</w:t>
            </w:r>
          </w:p>
        </w:tc>
      </w:tr>
      <w:tr w:rsidR="00BA710A" w14:paraId="2B49BB3B" w14:textId="77777777" w:rsidTr="00D5134C">
        <w:trPr>
          <w:trHeight w:val="1123"/>
        </w:trPr>
        <w:tc>
          <w:tcPr>
            <w:tcW w:w="9067" w:type="dxa"/>
            <w:gridSpan w:val="2"/>
          </w:tcPr>
          <w:p w14:paraId="66B6EB50" w14:textId="48BBDC16" w:rsidR="00BA710A" w:rsidRPr="000F114C" w:rsidRDefault="00E94B38" w:rsidP="007B303D">
            <w:pPr>
              <w:rPr>
                <w:bCs/>
              </w:rPr>
            </w:pPr>
            <w:r w:rsidRPr="000F114C">
              <w:rPr>
                <w:bCs/>
              </w:rPr>
              <w:t xml:space="preserve">Innehållet i kapitlet ansluter fortfarande väl till det centrala innehållet, men till skillnad från tidigare ska undervisningen </w:t>
            </w:r>
            <w:r w:rsidR="00400FA3">
              <w:rPr>
                <w:bCs/>
              </w:rPr>
              <w:t xml:space="preserve">även </w:t>
            </w:r>
            <w:r w:rsidRPr="000F114C">
              <w:rPr>
                <w:bCs/>
              </w:rPr>
              <w:t xml:space="preserve">behandla </w:t>
            </w:r>
            <w:proofErr w:type="spellStart"/>
            <w:r w:rsidRPr="000F114C">
              <w:rPr>
                <w:bCs/>
              </w:rPr>
              <w:t>funktionsbegreppet</w:t>
            </w:r>
            <w:proofErr w:type="spellEnd"/>
            <w:r w:rsidRPr="000F114C">
              <w:rPr>
                <w:bCs/>
              </w:rPr>
              <w:t xml:space="preserve">. </w:t>
            </w:r>
            <w:r w:rsidR="002867B7" w:rsidRPr="000F114C">
              <w:rPr>
                <w:bCs/>
              </w:rPr>
              <w:t>Det gör att språkbruket i kapitlet</w:t>
            </w:r>
            <w:r w:rsidR="000F114C" w:rsidRPr="000F114C">
              <w:rPr>
                <w:bCs/>
              </w:rPr>
              <w:t>, där vi använder begrepp som linjära samband och formler,</w:t>
            </w:r>
            <w:r w:rsidR="002867B7" w:rsidRPr="000F114C">
              <w:rPr>
                <w:bCs/>
              </w:rPr>
              <w:t xml:space="preserve"> inte stämmer så väl överens med intentionerna i den nya ämnesplanen, där man talar om funktioner och funktionsuttryck.</w:t>
            </w:r>
            <w:r w:rsidRPr="000F114C">
              <w:rPr>
                <w:bCs/>
              </w:rPr>
              <w:t xml:space="preserve"> </w:t>
            </w:r>
            <w:r w:rsidR="000F114C" w:rsidRPr="000F114C">
              <w:rPr>
                <w:bCs/>
              </w:rPr>
              <w:t xml:space="preserve">Undervisningen </w:t>
            </w:r>
            <w:r w:rsidR="00400FA3">
              <w:rPr>
                <w:bCs/>
              </w:rPr>
              <w:t>ska dessutom behandla metoder</w:t>
            </w:r>
            <w:r w:rsidR="000F114C" w:rsidRPr="000F114C">
              <w:rPr>
                <w:bCs/>
              </w:rPr>
              <w:t xml:space="preserve"> för att lösa ekvationer </w:t>
            </w:r>
            <w:r w:rsidR="00400FA3">
              <w:rPr>
                <w:bCs/>
              </w:rPr>
              <w:t xml:space="preserve">av typen </w:t>
            </w:r>
            <w:r w:rsidR="000F114C" w:rsidRPr="00400FA3">
              <w:rPr>
                <w:bCs/>
                <w:i/>
                <w:iCs/>
              </w:rPr>
              <w:t>f</w:t>
            </w:r>
            <w:r w:rsidR="000F114C" w:rsidRPr="000F114C">
              <w:rPr>
                <w:bCs/>
              </w:rPr>
              <w:t>(</w:t>
            </w:r>
            <w:r w:rsidR="000F114C" w:rsidRPr="00400FA3">
              <w:rPr>
                <w:bCs/>
                <w:i/>
                <w:iCs/>
              </w:rPr>
              <w:t>x</w:t>
            </w:r>
            <w:r w:rsidR="000F114C" w:rsidRPr="000F114C">
              <w:rPr>
                <w:bCs/>
              </w:rPr>
              <w:t xml:space="preserve">) = </w:t>
            </w:r>
            <w:r w:rsidR="000F114C" w:rsidRPr="00400FA3">
              <w:rPr>
                <w:bCs/>
                <w:i/>
                <w:iCs/>
              </w:rPr>
              <w:t>a</w:t>
            </w:r>
            <w:r w:rsidR="000F114C" w:rsidRPr="000F114C">
              <w:rPr>
                <w:bCs/>
              </w:rPr>
              <w:t xml:space="preserve"> grafiskt.</w:t>
            </w:r>
            <w:r w:rsidR="00E63C9D">
              <w:t xml:space="preserve"> </w:t>
            </w:r>
            <w:r w:rsidR="00E63C9D">
              <w:t xml:space="preserve">Sådana avsnitt finns i första upplagan av Matematik Origo 2a, delkapitel </w:t>
            </w:r>
            <w:r w:rsidR="00E63C9D">
              <w:t>3.1</w:t>
            </w:r>
            <w:r w:rsidR="00E63C9D">
              <w:t>.</w:t>
            </w:r>
          </w:p>
        </w:tc>
      </w:tr>
      <w:tr w:rsidR="00400FA3" w14:paraId="08A2F42D" w14:textId="77777777" w:rsidTr="00400FA3">
        <w:trPr>
          <w:trHeight w:val="283"/>
        </w:trPr>
        <w:tc>
          <w:tcPr>
            <w:tcW w:w="9067" w:type="dxa"/>
            <w:gridSpan w:val="2"/>
            <w:shd w:val="clear" w:color="auto" w:fill="9CC2E5" w:themeFill="accent5" w:themeFillTint="99"/>
          </w:tcPr>
          <w:p w14:paraId="2C0EFD66" w14:textId="0FF07912" w:rsidR="00400FA3" w:rsidRPr="00400FA3" w:rsidRDefault="00400FA3" w:rsidP="007B303D">
            <w:pPr>
              <w:rPr>
                <w:b/>
                <w:bCs/>
              </w:rPr>
            </w:pPr>
            <w:r w:rsidRPr="00400FA3">
              <w:rPr>
                <w:b/>
                <w:bCs/>
              </w:rPr>
              <w:t>Kapitel 8 - Geometri</w:t>
            </w:r>
          </w:p>
        </w:tc>
      </w:tr>
      <w:tr w:rsidR="00400FA3" w14:paraId="65545959" w14:textId="77777777" w:rsidTr="008D1F95">
        <w:trPr>
          <w:trHeight w:val="283"/>
        </w:trPr>
        <w:tc>
          <w:tcPr>
            <w:tcW w:w="9067" w:type="dxa"/>
            <w:gridSpan w:val="2"/>
          </w:tcPr>
          <w:p w14:paraId="74CD8032" w14:textId="2991E071" w:rsidR="00400FA3" w:rsidRDefault="00533095" w:rsidP="0065092A">
            <w:pPr>
              <w:autoSpaceDE w:val="0"/>
              <w:autoSpaceDN w:val="0"/>
              <w:adjustRightInd w:val="0"/>
            </w:pPr>
            <w:r>
              <w:t xml:space="preserve">Innehållet i kapitlet är inte längre en del av det programgemensamma centrala innehållet, men </w:t>
            </w:r>
            <w:r>
              <w:t xml:space="preserve">kan behandlas </w:t>
            </w:r>
            <w:r w:rsidR="0065092A">
              <w:t>inom ramen för yrkesmatematiken.</w:t>
            </w:r>
            <w:r>
              <w:t xml:space="preserve"> </w:t>
            </w:r>
          </w:p>
        </w:tc>
      </w:tr>
    </w:tbl>
    <w:p w14:paraId="1B4F8D4D" w14:textId="77777777" w:rsidR="00D95126" w:rsidRPr="00E342F6" w:rsidRDefault="00D95126" w:rsidP="00D95126">
      <w:pPr>
        <w:rPr>
          <w:b/>
        </w:rPr>
      </w:pPr>
    </w:p>
    <w:p w14:paraId="30EED2D4" w14:textId="551ADD3D" w:rsidR="00D35E3A" w:rsidRPr="00A14CCB" w:rsidRDefault="00D35E3A">
      <w:pPr>
        <w:rPr>
          <w:rFonts w:ascii="Times New Roman" w:hAnsi="Times New Roman" w:cs="Times New Roman"/>
        </w:rPr>
      </w:pPr>
    </w:p>
    <w:sectPr w:rsidR="00D35E3A" w:rsidRPr="00A14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19132" w14:textId="77777777" w:rsidR="00422BD8" w:rsidRDefault="00422BD8" w:rsidP="00F65F76">
      <w:pPr>
        <w:spacing w:after="0" w:line="240" w:lineRule="auto"/>
      </w:pPr>
      <w:r>
        <w:separator/>
      </w:r>
    </w:p>
  </w:endnote>
  <w:endnote w:type="continuationSeparator" w:id="0">
    <w:p w14:paraId="27CC551F" w14:textId="77777777" w:rsidR="00422BD8" w:rsidRDefault="00422BD8" w:rsidP="00F65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DA36E5" w14:textId="77777777" w:rsidR="00422BD8" w:rsidRDefault="00422BD8" w:rsidP="00F65F76">
      <w:pPr>
        <w:spacing w:after="0" w:line="240" w:lineRule="auto"/>
      </w:pPr>
      <w:r>
        <w:separator/>
      </w:r>
    </w:p>
  </w:footnote>
  <w:footnote w:type="continuationSeparator" w:id="0">
    <w:p w14:paraId="5AB16D03" w14:textId="77777777" w:rsidR="00422BD8" w:rsidRDefault="00422BD8" w:rsidP="00F65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0651D"/>
    <w:multiLevelType w:val="hybridMultilevel"/>
    <w:tmpl w:val="87926F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6E"/>
    <w:rsid w:val="000411C2"/>
    <w:rsid w:val="000428D1"/>
    <w:rsid w:val="000A52A1"/>
    <w:rsid w:val="000B1842"/>
    <w:rsid w:val="000B33F5"/>
    <w:rsid w:val="000F114C"/>
    <w:rsid w:val="001000CC"/>
    <w:rsid w:val="00101500"/>
    <w:rsid w:val="00124C6D"/>
    <w:rsid w:val="001305F4"/>
    <w:rsid w:val="00134CD1"/>
    <w:rsid w:val="00153152"/>
    <w:rsid w:val="00156706"/>
    <w:rsid w:val="00160DDB"/>
    <w:rsid w:val="0016417E"/>
    <w:rsid w:val="00176124"/>
    <w:rsid w:val="0017707C"/>
    <w:rsid w:val="00181D17"/>
    <w:rsid w:val="001B1BA3"/>
    <w:rsid w:val="001C3049"/>
    <w:rsid w:val="00201EB7"/>
    <w:rsid w:val="002128CD"/>
    <w:rsid w:val="002760A7"/>
    <w:rsid w:val="002867B7"/>
    <w:rsid w:val="002B269D"/>
    <w:rsid w:val="00301D57"/>
    <w:rsid w:val="003273E7"/>
    <w:rsid w:val="0034640F"/>
    <w:rsid w:val="00373FA6"/>
    <w:rsid w:val="003778DC"/>
    <w:rsid w:val="00381909"/>
    <w:rsid w:val="003860B6"/>
    <w:rsid w:val="00392A09"/>
    <w:rsid w:val="003A2C07"/>
    <w:rsid w:val="003A368F"/>
    <w:rsid w:val="003C1753"/>
    <w:rsid w:val="003C54E3"/>
    <w:rsid w:val="003C5E67"/>
    <w:rsid w:val="003E7412"/>
    <w:rsid w:val="003F7BF2"/>
    <w:rsid w:val="00400FA3"/>
    <w:rsid w:val="0040574A"/>
    <w:rsid w:val="00416ED7"/>
    <w:rsid w:val="00422BD8"/>
    <w:rsid w:val="004403C5"/>
    <w:rsid w:val="004602A8"/>
    <w:rsid w:val="0046781F"/>
    <w:rsid w:val="004A264C"/>
    <w:rsid w:val="004B29D0"/>
    <w:rsid w:val="004B70AA"/>
    <w:rsid w:val="004C210D"/>
    <w:rsid w:val="004D034E"/>
    <w:rsid w:val="004D541D"/>
    <w:rsid w:val="004E119A"/>
    <w:rsid w:val="004F410D"/>
    <w:rsid w:val="00533095"/>
    <w:rsid w:val="00533F5E"/>
    <w:rsid w:val="005525A2"/>
    <w:rsid w:val="00573724"/>
    <w:rsid w:val="00574B36"/>
    <w:rsid w:val="005805EC"/>
    <w:rsid w:val="00585127"/>
    <w:rsid w:val="005C3CD0"/>
    <w:rsid w:val="005F14A9"/>
    <w:rsid w:val="005F5ABD"/>
    <w:rsid w:val="00611B98"/>
    <w:rsid w:val="006303CC"/>
    <w:rsid w:val="006469D7"/>
    <w:rsid w:val="0065092A"/>
    <w:rsid w:val="006C76D8"/>
    <w:rsid w:val="006F5BD7"/>
    <w:rsid w:val="00710373"/>
    <w:rsid w:val="00721E2F"/>
    <w:rsid w:val="00740841"/>
    <w:rsid w:val="0074726F"/>
    <w:rsid w:val="00770B88"/>
    <w:rsid w:val="007746B7"/>
    <w:rsid w:val="0078735F"/>
    <w:rsid w:val="007963E8"/>
    <w:rsid w:val="00797B3E"/>
    <w:rsid w:val="007D1111"/>
    <w:rsid w:val="007F4043"/>
    <w:rsid w:val="007F52BB"/>
    <w:rsid w:val="00813553"/>
    <w:rsid w:val="008530B9"/>
    <w:rsid w:val="008831CF"/>
    <w:rsid w:val="008838E5"/>
    <w:rsid w:val="008862BC"/>
    <w:rsid w:val="00893AF4"/>
    <w:rsid w:val="008D5DAD"/>
    <w:rsid w:val="00940FBF"/>
    <w:rsid w:val="0094386E"/>
    <w:rsid w:val="00955B78"/>
    <w:rsid w:val="009C3CFE"/>
    <w:rsid w:val="009C3F3C"/>
    <w:rsid w:val="009C5132"/>
    <w:rsid w:val="009D48B1"/>
    <w:rsid w:val="009D685C"/>
    <w:rsid w:val="00A03C0C"/>
    <w:rsid w:val="00A14CCB"/>
    <w:rsid w:val="00A34529"/>
    <w:rsid w:val="00A363E7"/>
    <w:rsid w:val="00A36FE0"/>
    <w:rsid w:val="00A74BED"/>
    <w:rsid w:val="00A87E29"/>
    <w:rsid w:val="00AB04BD"/>
    <w:rsid w:val="00AB0532"/>
    <w:rsid w:val="00AB2E2C"/>
    <w:rsid w:val="00AC11F9"/>
    <w:rsid w:val="00AC51BF"/>
    <w:rsid w:val="00AE305B"/>
    <w:rsid w:val="00AE5314"/>
    <w:rsid w:val="00AF650D"/>
    <w:rsid w:val="00B01315"/>
    <w:rsid w:val="00B0335E"/>
    <w:rsid w:val="00B13E84"/>
    <w:rsid w:val="00B246A3"/>
    <w:rsid w:val="00B62B10"/>
    <w:rsid w:val="00B9255A"/>
    <w:rsid w:val="00B96359"/>
    <w:rsid w:val="00BA35FB"/>
    <w:rsid w:val="00BA710A"/>
    <w:rsid w:val="00BE39C7"/>
    <w:rsid w:val="00BF33D4"/>
    <w:rsid w:val="00C04258"/>
    <w:rsid w:val="00C05363"/>
    <w:rsid w:val="00C13DE6"/>
    <w:rsid w:val="00C3630D"/>
    <w:rsid w:val="00C40C37"/>
    <w:rsid w:val="00C53F96"/>
    <w:rsid w:val="00C63FFC"/>
    <w:rsid w:val="00C73401"/>
    <w:rsid w:val="00C80C14"/>
    <w:rsid w:val="00C85BDA"/>
    <w:rsid w:val="00CB745F"/>
    <w:rsid w:val="00CD43A9"/>
    <w:rsid w:val="00CE316B"/>
    <w:rsid w:val="00CF046E"/>
    <w:rsid w:val="00D204D3"/>
    <w:rsid w:val="00D35E3A"/>
    <w:rsid w:val="00D41710"/>
    <w:rsid w:val="00D41FEB"/>
    <w:rsid w:val="00D86FF5"/>
    <w:rsid w:val="00D94658"/>
    <w:rsid w:val="00D95126"/>
    <w:rsid w:val="00D97868"/>
    <w:rsid w:val="00DA7CCD"/>
    <w:rsid w:val="00DB58D9"/>
    <w:rsid w:val="00DC78D9"/>
    <w:rsid w:val="00DE7258"/>
    <w:rsid w:val="00E32EC4"/>
    <w:rsid w:val="00E530D2"/>
    <w:rsid w:val="00E63C9D"/>
    <w:rsid w:val="00E7238F"/>
    <w:rsid w:val="00E81BDD"/>
    <w:rsid w:val="00E92D0D"/>
    <w:rsid w:val="00E94B38"/>
    <w:rsid w:val="00E94DCD"/>
    <w:rsid w:val="00EA0E28"/>
    <w:rsid w:val="00EB6F85"/>
    <w:rsid w:val="00EB7AF0"/>
    <w:rsid w:val="00EE611F"/>
    <w:rsid w:val="00EE6704"/>
    <w:rsid w:val="00EF433D"/>
    <w:rsid w:val="00EF447E"/>
    <w:rsid w:val="00F31FB8"/>
    <w:rsid w:val="00F36BAF"/>
    <w:rsid w:val="00F65F76"/>
    <w:rsid w:val="00F75E2B"/>
    <w:rsid w:val="00FB6DC7"/>
    <w:rsid w:val="00FB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676F66"/>
  <w15:chartTrackingRefBased/>
  <w15:docId w15:val="{FA96D69E-D114-4E49-BC70-0DF4B69D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9512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35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392A0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B7AF0"/>
    <w:rPr>
      <w:color w:val="605E5C"/>
      <w:shd w:val="clear" w:color="auto" w:fill="E1DFDD"/>
    </w:rPr>
  </w:style>
  <w:style w:type="character" w:customStyle="1" w:styleId="Rubrik2Char">
    <w:name w:val="Rubrik 2 Char"/>
    <w:basedOn w:val="Standardstycketeckensnitt"/>
    <w:link w:val="Rubrik2"/>
    <w:uiPriority w:val="9"/>
    <w:rsid w:val="00D9512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sv-SE"/>
    </w:rPr>
  </w:style>
  <w:style w:type="paragraph" w:styleId="Liststycke">
    <w:name w:val="List Paragraph"/>
    <w:basedOn w:val="Normal"/>
    <w:uiPriority w:val="34"/>
    <w:qFormat/>
    <w:rsid w:val="00041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494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 Reuterswärd</dc:creator>
  <cp:keywords/>
  <dc:description/>
  <cp:lastModifiedBy>Emelie Reuterswärd</cp:lastModifiedBy>
  <cp:revision>57</cp:revision>
  <dcterms:created xsi:type="dcterms:W3CDTF">2021-06-21T05:39:00Z</dcterms:created>
  <dcterms:modified xsi:type="dcterms:W3CDTF">2021-07-15T13:57:00Z</dcterms:modified>
</cp:coreProperties>
</file>